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cs="Arial"/>
          <w:sz w:val="36"/>
        </w:rPr>
        <w:t>البند 3.1: عدد الأبحاث المنشورة في SCOPUS و ISI</w:t>
      </w:r>
    </w:p>
    <w:p/>
    <w:p>
      <w:pPr>
        <w:jc w:val="right"/>
        <w:bidi/>
      </w:pPr>
      <w:r>
        <w:rPr>
          <w:rFonts w:ascii="Arial" w:hAnsi="Arial" w:cs="Arial"/>
          <w:sz w:val="24"/>
        </w:rPr>
        <w:t>هناك زيادة ملحوظة في عدد الأبحاث المنشورة في محرك سكوبس Scopus للأعوام 2023/2024، وذلك بسبب السياسات المعتمدة لتحفيز الباحثين على النشر، ويوضح الشكل (1-3) والشكل (2-3) أدناه عدد الأبحاث السنوية المنشورة على النحو الآتي:</w:t>
      </w:r>
    </w:p>
    <w:p>
      <w:pPr>
        <w:jc w:val="center"/>
      </w:pPr>
      <w:r>
        <w:drawing>
          <wp:inline xmlns:a="http://schemas.openxmlformats.org/drawingml/2006/main" xmlns:pic="http://schemas.openxmlformats.org/drawingml/2006/picture">
            <wp:extent cx="5029200" cy="3111897"/>
            <wp:docPr id="1" name="Picture 1"/>
            <wp:cNvGraphicFramePr>
              <a:graphicFrameLocks noChangeAspect="1"/>
            </wp:cNvGraphicFramePr>
            <a:graphic>
              <a:graphicData uri="http://schemas.openxmlformats.org/drawingml/2006/picture">
                <pic:pic>
                  <pic:nvPicPr>
                    <pic:cNvPr id="0" name="chart_3_1.png"/>
                    <pic:cNvPicPr/>
                  </pic:nvPicPr>
                  <pic:blipFill>
                    <a:blip r:embed="rId9"/>
                    <a:stretch>
                      <a:fillRect/>
                    </a:stretch>
                  </pic:blipFill>
                  <pic:spPr>
                    <a:xfrm>
                      <a:off x="0" y="0"/>
                      <a:ext cx="5029200" cy="3111897"/>
                    </a:xfrm>
                    <a:prstGeom prst="rect"/>
                  </pic:spPr>
                </pic:pic>
              </a:graphicData>
            </a:graphic>
          </wp:inline>
        </w:drawing>
      </w:r>
    </w:p>
    <w:p>
      <w:pPr>
        <w:jc w:val="center"/>
      </w:pPr>
      <w:r>
        <w:rPr>
          <w:rFonts w:ascii="Arial" w:hAnsi="Arial" w:cs="Arial"/>
          <w:i/>
          <w:sz w:val="20"/>
        </w:rPr>
        <w:t>شكل (3-1): عدد الأبحاث السنوية المنشورة</w:t>
      </w:r>
    </w:p>
    <w:p/>
    <w:p>
      <w:pPr>
        <w:jc w:val="right"/>
        <w:bidi/>
      </w:pPr>
      <w:r>
        <w:rPr>
          <w:rFonts w:ascii="Arial" w:hAnsi="Arial" w:cs="Arial"/>
          <w:sz w:val="24"/>
        </w:rPr>
        <w:t>كما نُلاحظ أن أعداد الأبحاث المنشورة قد بلغت (1871) بحثاً منشوراً حتى العام 2024، وبزيادة مطردة في نشر الأبحاث في آخر 5 سنوات وبنمط متسارع.</w:t>
      </w:r>
    </w:p>
    <w:p>
      <w:pPr>
        <w:jc w:val="center"/>
      </w:pPr>
      <w:r>
        <w:drawing>
          <wp:inline xmlns:a="http://schemas.openxmlformats.org/drawingml/2006/main" xmlns:pic="http://schemas.openxmlformats.org/drawingml/2006/picture">
            <wp:extent cx="5029200" cy="3109269"/>
            <wp:docPr id="2" name="Picture 2"/>
            <wp:cNvGraphicFramePr>
              <a:graphicFrameLocks noChangeAspect="1"/>
            </wp:cNvGraphicFramePr>
            <a:graphic>
              <a:graphicData uri="http://schemas.openxmlformats.org/drawingml/2006/picture">
                <pic:pic>
                  <pic:nvPicPr>
                    <pic:cNvPr id="0" name="chart_3_2.png"/>
                    <pic:cNvPicPr/>
                  </pic:nvPicPr>
                  <pic:blipFill>
                    <a:blip r:embed="rId10"/>
                    <a:stretch>
                      <a:fillRect/>
                    </a:stretch>
                  </pic:blipFill>
                  <pic:spPr>
                    <a:xfrm>
                      <a:off x="0" y="0"/>
                      <a:ext cx="5029200" cy="3109269"/>
                    </a:xfrm>
                    <a:prstGeom prst="rect"/>
                  </pic:spPr>
                </pic:pic>
              </a:graphicData>
            </a:graphic>
          </wp:inline>
        </w:drawing>
      </w:r>
    </w:p>
    <w:p>
      <w:pPr>
        <w:jc w:val="center"/>
      </w:pPr>
      <w:r>
        <w:rPr>
          <w:rFonts w:ascii="Arial" w:hAnsi="Arial" w:cs="Arial"/>
          <w:i/>
          <w:sz w:val="20"/>
        </w:rPr>
        <w:t>شكل (3-2): العدد التراكمي السنوي للأبحاث المنشورة</w:t>
      </w:r>
    </w:p>
    <w:p/>
    <w:p>
      <w:pPr>
        <w:jc w:val="right"/>
        <w:bidi/>
      </w:pPr>
      <w:r>
        <w:rPr>
          <w:rFonts w:ascii="Arial" w:hAnsi="Arial" w:cs="Arial"/>
          <w:sz w:val="24"/>
        </w:rPr>
        <w:t>وقد ارتفع مؤشر هيرش للجامعة على محرك سكوبس عام 2024 إلى 60، بالمقارنة مع 50 عام 2023، بينما كان المؤشر 42 في عام 2022، وهذا يُعدّ دليلاً إيجابياً على تحسن النشر والاستشهادات العلمية في الجامعة.</w:t>
      </w:r>
    </w:p>
    <w:p>
      <w:pPr>
        <w:jc w:val="center"/>
        <w:bidi/>
      </w:pPr>
      <w:r>
        <w:rPr>
          <w:rFonts w:ascii="Arial" w:hAnsi="Arial" w:cs="Arial"/>
          <w:b/>
          <w:sz w:val="24"/>
        </w:rPr>
        <w:t>جدول (3-1): مؤشرات أداء البحث العلمي لعام 2024</w:t>
      </w:r>
    </w:p>
    <w:tbl>
      <w:tblPr>
        <w:tblStyle w:val="TableGrid"/>
        <w:tblW w:type="auto" w:w="0"/>
        <w:tblLook w:firstColumn="1" w:firstRow="1" w:lastColumn="0" w:lastRow="0" w:noHBand="0" w:noVBand="1" w:val="04A0"/>
      </w:tblPr>
      <w:tblGrid>
        <w:gridCol w:w="4703"/>
        <w:gridCol w:w="4703"/>
      </w:tblGrid>
      <w:tr>
        <w:tc>
          <w:tcPr>
            <w:tcW w:type="dxa" w:w="4703"/>
          </w:tcPr>
          <w:p>
            <w:pPr>
              <w:jc w:val="center"/>
              <w:bidi/>
            </w:pPr>
            <w:r>
              <w:rPr>
                <w:rFonts w:ascii="Arial" w:hAnsi="Arial" w:cs="Arial"/>
                <w:b/>
                <w:sz w:val="18"/>
              </w:rPr>
              <w:t>indicator</w:t>
            </w:r>
          </w:p>
        </w:tc>
        <w:tc>
          <w:tcPr>
            <w:tcW w:type="dxa" w:w="4703"/>
          </w:tcPr>
          <w:p>
            <w:pPr>
              <w:jc w:val="center"/>
              <w:bidi/>
            </w:pPr>
            <w:r>
              <w:rPr>
                <w:rFonts w:ascii="Arial" w:hAnsi="Arial" w:cs="Arial"/>
                <w:b/>
                <w:sz w:val="18"/>
              </w:rPr>
              <w:t>value</w:t>
            </w:r>
          </w:p>
        </w:tc>
      </w:tr>
      <w:tr>
        <w:tc>
          <w:tcPr>
            <w:tcW w:type="dxa" w:w="4703"/>
          </w:tcPr>
          <w:p>
            <w:pPr>
              <w:jc w:val="center"/>
              <w:bidi/>
            </w:pPr>
            <w:r>
              <w:rPr>
                <w:rFonts w:ascii="Arial" w:hAnsi="Arial" w:cs="Arial"/>
                <w:sz w:val="18"/>
              </w:rPr>
              <w:t>عدد الأبحاث المنشورة الكلي 2024</w:t>
            </w:r>
          </w:p>
        </w:tc>
        <w:tc>
          <w:tcPr>
            <w:tcW w:type="dxa" w:w="4703"/>
          </w:tcPr>
          <w:p>
            <w:pPr>
              <w:jc w:val="center"/>
              <w:bidi/>
            </w:pPr>
            <w:r>
              <w:rPr>
                <w:rFonts w:ascii="Arial" w:hAnsi="Arial" w:cs="Arial"/>
                <w:sz w:val="18"/>
              </w:rPr>
              <w:t>1871</w:t>
            </w:r>
          </w:p>
        </w:tc>
      </w:tr>
      <w:tr>
        <w:tc>
          <w:tcPr>
            <w:tcW w:type="dxa" w:w="4703"/>
          </w:tcPr>
          <w:p>
            <w:pPr>
              <w:jc w:val="center"/>
              <w:bidi/>
            </w:pPr>
            <w:r>
              <w:rPr>
                <w:rFonts w:ascii="Arial" w:hAnsi="Arial" w:cs="Arial"/>
                <w:sz w:val="18"/>
              </w:rPr>
              <w:t>عدد الاستشهادات الكلي</w:t>
            </w:r>
          </w:p>
        </w:tc>
        <w:tc>
          <w:tcPr>
            <w:tcW w:type="dxa" w:w="4703"/>
          </w:tcPr>
          <w:p>
            <w:pPr>
              <w:jc w:val="center"/>
              <w:bidi/>
            </w:pPr>
            <w:r>
              <w:rPr>
                <w:rFonts w:ascii="Arial" w:hAnsi="Arial" w:cs="Arial"/>
                <w:sz w:val="18"/>
              </w:rPr>
              <w:t>18187</w:t>
            </w:r>
          </w:p>
        </w:tc>
      </w:tr>
      <w:tr>
        <w:tc>
          <w:tcPr>
            <w:tcW w:type="dxa" w:w="4703"/>
          </w:tcPr>
          <w:p>
            <w:pPr>
              <w:jc w:val="center"/>
              <w:bidi/>
            </w:pPr>
            <w:r>
              <w:rPr>
                <w:rFonts w:ascii="Arial" w:hAnsi="Arial" w:cs="Arial"/>
                <w:sz w:val="18"/>
              </w:rPr>
              <w:t>مؤشر الإتش h-index (scopus)</w:t>
            </w:r>
          </w:p>
        </w:tc>
        <w:tc>
          <w:tcPr>
            <w:tcW w:type="dxa" w:w="4703"/>
          </w:tcPr>
          <w:p>
            <w:pPr>
              <w:jc w:val="center"/>
              <w:bidi/>
            </w:pPr>
            <w:r>
              <w:rPr>
                <w:rFonts w:ascii="Arial" w:hAnsi="Arial" w:cs="Arial"/>
                <w:sz w:val="18"/>
              </w:rPr>
              <w:t>60</w:t>
            </w:r>
          </w:p>
        </w:tc>
      </w:tr>
    </w:tbl>
    <w:p/>
    <w:p>
      <w:pPr>
        <w:jc w:val="right"/>
        <w:bidi/>
      </w:pPr>
      <w:r>
        <w:rPr>
          <w:rFonts w:ascii="Arial" w:hAnsi="Arial" w:cs="Arial"/>
          <w:sz w:val="24"/>
        </w:rPr>
        <w:t>ويبين الجدول (3-2) التالي قائمة تفصيلية بالأبحاث المنشورة في قواعد البيانات العالمية SCOPUS خلال العام الأكاديمي 2023-2024، والتي بلغ عددها (454) بحثاً، موزعة على مختلف الكليات والتخصصات الأكاديمية في الجامعة.</w:t>
      </w:r>
    </w:p>
    <w:p>
      <w:pPr>
        <w:jc w:val="center"/>
        <w:bidi/>
      </w:pPr>
      <w:r>
        <w:rPr>
          <w:rFonts w:ascii="Arial" w:hAnsi="Arial" w:cs="Arial"/>
          <w:b/>
          <w:sz w:val="24"/>
        </w:rPr>
        <w:t>جدول (3-2): قائمة بالأبحاث المنشورة في Scopus للعام 2024</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bidi/>
            </w:pPr>
            <w:r>
              <w:rPr>
                <w:rFonts w:ascii="Arial" w:hAnsi="Arial" w:cs="Arial"/>
                <w:b/>
                <w:sz w:val="18"/>
              </w:rPr>
              <w:t>num</w:t>
            </w:r>
          </w:p>
        </w:tc>
        <w:tc>
          <w:tcPr>
            <w:tcW w:type="dxa" w:w="1344"/>
          </w:tcPr>
          <w:p>
            <w:pPr>
              <w:jc w:val="center"/>
              <w:bidi/>
            </w:pPr>
            <w:r>
              <w:rPr>
                <w:rFonts w:ascii="Arial" w:hAnsi="Arial" w:cs="Arial"/>
                <w:b/>
                <w:sz w:val="18"/>
              </w:rPr>
              <w:t>authors</w:t>
            </w:r>
          </w:p>
        </w:tc>
        <w:tc>
          <w:tcPr>
            <w:tcW w:type="dxa" w:w="1344"/>
          </w:tcPr>
          <w:p>
            <w:pPr>
              <w:jc w:val="center"/>
              <w:bidi/>
            </w:pPr>
            <w:r>
              <w:rPr>
                <w:rFonts w:ascii="Arial" w:hAnsi="Arial" w:cs="Arial"/>
                <w:b/>
                <w:sz w:val="18"/>
              </w:rPr>
              <w:t>title</w:t>
            </w:r>
          </w:p>
        </w:tc>
        <w:tc>
          <w:tcPr>
            <w:tcW w:type="dxa" w:w="1344"/>
          </w:tcPr>
          <w:p>
            <w:pPr>
              <w:jc w:val="center"/>
              <w:bidi/>
            </w:pPr>
            <w:r>
              <w:rPr>
                <w:rFonts w:ascii="Arial" w:hAnsi="Arial" w:cs="Arial"/>
                <w:b/>
                <w:sz w:val="18"/>
              </w:rPr>
              <w:t>year</w:t>
            </w:r>
          </w:p>
        </w:tc>
        <w:tc>
          <w:tcPr>
            <w:tcW w:type="dxa" w:w="1344"/>
          </w:tcPr>
          <w:p>
            <w:pPr>
              <w:jc w:val="center"/>
              <w:bidi/>
            </w:pPr>
            <w:r>
              <w:rPr>
                <w:rFonts w:ascii="Arial" w:hAnsi="Arial" w:cs="Arial"/>
                <w:b/>
                <w:sz w:val="18"/>
              </w:rPr>
              <w:t>journal</w:t>
            </w:r>
          </w:p>
        </w:tc>
        <w:tc>
          <w:tcPr>
            <w:tcW w:type="dxa" w:w="1344"/>
          </w:tcPr>
          <w:p>
            <w:pPr>
              <w:jc w:val="center"/>
              <w:bidi/>
            </w:pPr>
            <w:r>
              <w:rPr>
                <w:rFonts w:ascii="Arial" w:hAnsi="Arial" w:cs="Arial"/>
                <w:b/>
                <w:sz w:val="18"/>
              </w:rPr>
              <w:t>volume</w:t>
            </w:r>
          </w:p>
        </w:tc>
        <w:tc>
          <w:tcPr>
            <w:tcW w:type="dxa" w:w="1344"/>
          </w:tcPr>
          <w:p>
            <w:pPr>
              <w:jc w:val="center"/>
              <w:bidi/>
            </w:pPr>
            <w:r>
              <w:rPr>
                <w:rFonts w:ascii="Arial" w:hAnsi="Arial" w:cs="Arial"/>
                <w:b/>
                <w:sz w:val="18"/>
              </w:rPr>
              <w:t>issue</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Ishtaiwi A.; Al Khaldy M.A.; Al-Qerem A.; Aldweesh A.; Almomani A.</w:t>
            </w:r>
          </w:p>
        </w:tc>
        <w:tc>
          <w:tcPr>
            <w:tcW w:type="dxa" w:w="1344"/>
          </w:tcPr>
          <w:p>
            <w:pPr>
              <w:jc w:val="center"/>
              <w:bidi/>
            </w:pPr>
            <w:r>
              <w:rPr>
                <w:rFonts w:ascii="Arial" w:hAnsi="Arial" w:cs="Arial"/>
                <w:sz w:val="18"/>
              </w:rPr>
              <w:t>Artificial intelligence in cryptographic evolution: Bridging the future of security</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Innovations in Modern Cryptography</w:t>
            </w:r>
          </w:p>
        </w:tc>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Albataineh A.</w:t>
            </w:r>
          </w:p>
        </w:tc>
        <w:tc>
          <w:tcPr>
            <w:tcW w:type="dxa" w:w="1344"/>
          </w:tcPr>
          <w:p>
            <w:pPr>
              <w:jc w:val="center"/>
              <w:bidi/>
            </w:pPr>
            <w:r>
              <w:rPr>
                <w:rFonts w:ascii="Arial" w:hAnsi="Arial" w:cs="Arial"/>
                <w:sz w:val="18"/>
              </w:rPr>
              <w:t>The effect of remittances on poverty and economic growth in jordan: evidence from augmented autoregr</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Technological and Economic Development of Economy</w:t>
            </w:r>
          </w:p>
        </w:tc>
        <w:tc>
          <w:tcPr>
            <w:tcW w:type="dxa" w:w="1344"/>
          </w:tcPr>
          <w:p>
            <w:pPr>
              <w:jc w:val="center"/>
              <w:bidi/>
            </w:pPr>
            <w:r>
              <w:rPr>
                <w:rFonts w:ascii="Arial" w:hAnsi="Arial" w:cs="Arial"/>
                <w:sz w:val="18"/>
              </w:rPr>
              <w:t>30</w:t>
            </w:r>
          </w:p>
        </w:tc>
        <w:tc>
          <w:tcPr>
            <w:tcW w:type="dxa" w:w="1344"/>
          </w:tcPr>
          <w:p>
            <w:pPr>
              <w:jc w:val="center"/>
              <w:bidi/>
            </w:pPr>
            <w:r>
              <w:rPr>
                <w:rFonts w:ascii="Arial" w:hAnsi="Arial" w:cs="Arial"/>
                <w:sz w:val="18"/>
              </w:rPr>
              <w:t>6</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Al Hwaitat A.K.; Fakhouri H.N.</w:t>
            </w:r>
          </w:p>
        </w:tc>
        <w:tc>
          <w:tcPr>
            <w:tcW w:type="dxa" w:w="1344"/>
          </w:tcPr>
          <w:p>
            <w:pPr>
              <w:jc w:val="center"/>
              <w:bidi/>
            </w:pPr>
            <w:r>
              <w:rPr>
                <w:rFonts w:ascii="Arial" w:hAnsi="Arial" w:cs="Arial"/>
                <w:sz w:val="18"/>
              </w:rPr>
              <w:t>Adaptive Cybersecurity Neural Networks: An Evolutionary Approach for Enhanced Attack Detection and C</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Applied Sciences (Switzerland)</w:t>
            </w:r>
          </w:p>
        </w:tc>
        <w:tc>
          <w:tcPr>
            <w:tcW w:type="dxa" w:w="1344"/>
          </w:tcPr>
          <w:p>
            <w:pPr>
              <w:jc w:val="center"/>
              <w:bidi/>
            </w:pPr>
            <w:r>
              <w:rPr>
                <w:rFonts w:ascii="Arial" w:hAnsi="Arial" w:cs="Arial"/>
                <w:sz w:val="18"/>
              </w:rPr>
              <w:t>14</w:t>
            </w:r>
          </w:p>
        </w:tc>
        <w:tc>
          <w:tcPr>
            <w:tcW w:type="dxa" w:w="1344"/>
          </w:tcPr>
          <w:p>
            <w:pPr>
              <w:jc w:val="center"/>
              <w:bidi/>
            </w:pPr>
            <w:r>
              <w:rPr>
                <w:rFonts w:ascii="Arial" w:hAnsi="Arial" w:cs="Arial"/>
                <w:sz w:val="18"/>
              </w:rPr>
              <w:t>19</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Alhaj O.A.; Jrad Z.; Oussaief O.; Jahrami H.A.; Ahmad L.; Alshuniaber M.A.; Mehta B.M.</w:t>
            </w:r>
          </w:p>
        </w:tc>
        <w:tc>
          <w:tcPr>
            <w:tcW w:type="dxa" w:w="1344"/>
          </w:tcPr>
          <w:p>
            <w:pPr>
              <w:jc w:val="center"/>
              <w:bidi/>
            </w:pPr>
            <w:r>
              <w:rPr>
                <w:rFonts w:ascii="Arial" w:hAnsi="Arial" w:cs="Arial"/>
                <w:sz w:val="18"/>
              </w:rPr>
              <w:t>The characterization of Lactobacillus strains in camel and bovine milk during fermentation: A compar</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Heliyon</w:t>
            </w:r>
          </w:p>
        </w:tc>
        <w:tc>
          <w:tcPr>
            <w:tcW w:type="dxa" w:w="1344"/>
          </w:tcPr>
          <w:p>
            <w:pPr>
              <w:jc w:val="center"/>
              <w:bidi/>
            </w:pPr>
            <w:r>
              <w:rPr>
                <w:rFonts w:ascii="Arial" w:hAnsi="Arial" w:cs="Arial"/>
                <w:sz w:val="18"/>
              </w:rPr>
              <w:t>10</w:t>
            </w:r>
          </w:p>
        </w:tc>
        <w:tc>
          <w:tcPr>
            <w:tcW w:type="dxa" w:w="1344"/>
          </w:tcPr>
          <w:p>
            <w:pPr>
              <w:jc w:val="center"/>
              <w:bidi/>
            </w:pPr>
            <w:r>
              <w:rPr>
                <w:rFonts w:ascii="Arial" w:hAnsi="Arial" w:cs="Arial"/>
                <w:sz w:val="18"/>
              </w:rPr>
              <w:t>21</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Mohammad A.A.S.; Khanfar I.A.A.; Al-Daoud K.I.; Odeh M.; Mohammad S.I.; Vasudevan A.</w:t>
            </w:r>
          </w:p>
        </w:tc>
        <w:tc>
          <w:tcPr>
            <w:tcW w:type="dxa" w:w="1344"/>
          </w:tcPr>
          <w:p>
            <w:pPr>
              <w:jc w:val="center"/>
              <w:bidi/>
            </w:pPr>
            <w:r>
              <w:rPr>
                <w:rFonts w:ascii="Arial" w:hAnsi="Arial" w:cs="Arial"/>
                <w:sz w:val="18"/>
              </w:rPr>
              <w:t>Impact of perceived brand dimensions on Consumers' Purchase Choices</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Journal of Ecohumanism</w:t>
            </w:r>
          </w:p>
        </w:tc>
        <w:tc>
          <w:tcPr>
            <w:tcW w:type="dxa" w:w="1344"/>
          </w:tcPr>
          <w:p>
            <w:pPr>
              <w:jc w:val="center"/>
              <w:bidi/>
            </w:pPr>
            <w:r>
              <w:rPr>
                <w:rFonts w:ascii="Arial" w:hAnsi="Arial" w:cs="Arial"/>
                <w:sz w:val="18"/>
              </w:rPr>
              <w:t>3</w:t>
            </w:r>
          </w:p>
        </w:tc>
        <w:tc>
          <w:tcPr>
            <w:tcW w:type="dxa" w:w="1344"/>
          </w:tcPr>
          <w:p>
            <w:pPr>
              <w:jc w:val="center"/>
              <w:bidi/>
            </w:pPr>
            <w:r>
              <w:rPr>
                <w:rFonts w:ascii="Arial" w:hAnsi="Arial" w:cs="Arial"/>
                <w:sz w:val="18"/>
              </w:rPr>
              <w:t>7</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Mohammad A.A.S.; Alolayyan M.N.; Al-Daoud K.I.; Nammas Y.M.A.; Vasudevan A.; Mohammad S.I.</w:t>
            </w:r>
          </w:p>
        </w:tc>
        <w:tc>
          <w:tcPr>
            <w:tcW w:type="dxa" w:w="1344"/>
          </w:tcPr>
          <w:p>
            <w:pPr>
              <w:jc w:val="center"/>
              <w:bidi/>
            </w:pPr>
            <w:r>
              <w:rPr>
                <w:rFonts w:ascii="Arial" w:hAnsi="Arial" w:cs="Arial"/>
                <w:sz w:val="18"/>
              </w:rPr>
              <w:t>Association between Social Demographic Factors and Health Literacy in Jordan</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Journal of Ecohumanism</w:t>
            </w:r>
          </w:p>
        </w:tc>
        <w:tc>
          <w:tcPr>
            <w:tcW w:type="dxa" w:w="1344"/>
          </w:tcPr>
          <w:p>
            <w:pPr>
              <w:jc w:val="center"/>
              <w:bidi/>
            </w:pPr>
            <w:r>
              <w:rPr>
                <w:rFonts w:ascii="Arial" w:hAnsi="Arial" w:cs="Arial"/>
                <w:sz w:val="18"/>
              </w:rPr>
              <w:t>3</w:t>
            </w:r>
          </w:p>
        </w:tc>
        <w:tc>
          <w:tcPr>
            <w:tcW w:type="dxa" w:w="1344"/>
          </w:tcPr>
          <w:p>
            <w:pPr>
              <w:jc w:val="center"/>
              <w:bidi/>
            </w:pPr>
            <w:r>
              <w:rPr>
                <w:rFonts w:ascii="Arial" w:hAnsi="Arial" w:cs="Arial"/>
                <w:sz w:val="18"/>
              </w:rPr>
              <w:t>7</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 xml:space="preserve">Zaidalkilani A.T.; Al-kuraishy H.M.; Fahad E.H.; Al-Gareeb A.I.; Elewa Y.H.A.; Zahran M.H.; Alexiou </w:t>
            </w:r>
          </w:p>
        </w:tc>
        <w:tc>
          <w:tcPr>
            <w:tcW w:type="dxa" w:w="1344"/>
          </w:tcPr>
          <w:p>
            <w:pPr>
              <w:jc w:val="center"/>
              <w:bidi/>
            </w:pPr>
            <w:r>
              <w:rPr>
                <w:rFonts w:ascii="Arial" w:hAnsi="Arial" w:cs="Arial"/>
                <w:sz w:val="18"/>
              </w:rPr>
              <w:t>Autophagy modulators in type 2 diabetes: A new perspective</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Journal of Diabetes</w:t>
            </w:r>
          </w:p>
        </w:tc>
        <w:tc>
          <w:tcPr>
            <w:tcW w:type="dxa" w:w="1344"/>
          </w:tcPr>
          <w:p>
            <w:pPr>
              <w:jc w:val="center"/>
              <w:bidi/>
            </w:pPr>
            <w:r>
              <w:rPr>
                <w:rFonts w:ascii="Arial" w:hAnsi="Arial" w:cs="Arial"/>
                <w:sz w:val="18"/>
              </w:rPr>
              <w:t>16</w:t>
            </w:r>
          </w:p>
        </w:tc>
        <w:tc>
          <w:tcPr>
            <w:tcW w:type="dxa" w:w="1344"/>
          </w:tcPr>
          <w:p>
            <w:pPr>
              <w:jc w:val="center"/>
              <w:bidi/>
            </w:pPr>
            <w:r>
              <w:rPr>
                <w:rFonts w:ascii="Arial" w:hAnsi="Arial" w:cs="Arial"/>
                <w:sz w:val="18"/>
              </w:rPr>
              <w:t>12</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Lestari U.; Salam S.; Choo Y.-H.; Alomoush A.; Al Qallab K.</w:t>
            </w:r>
          </w:p>
        </w:tc>
        <w:tc>
          <w:tcPr>
            <w:tcW w:type="dxa" w:w="1344"/>
          </w:tcPr>
          <w:p>
            <w:pPr>
              <w:jc w:val="center"/>
              <w:bidi/>
            </w:pPr>
            <w:r>
              <w:rPr>
                <w:rFonts w:ascii="Arial" w:hAnsi="Arial" w:cs="Arial"/>
                <w:sz w:val="18"/>
              </w:rPr>
              <w:t>Automatic prediction of learning styles: a comprehensive analysis of classification models</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Bulletin of Electrical Engineering and Informatics</w:t>
            </w:r>
          </w:p>
        </w:tc>
        <w:tc>
          <w:tcPr>
            <w:tcW w:type="dxa" w:w="1344"/>
          </w:tcPr>
          <w:p>
            <w:pPr>
              <w:jc w:val="center"/>
              <w:bidi/>
            </w:pPr>
            <w:r>
              <w:rPr>
                <w:rFonts w:ascii="Arial" w:hAnsi="Arial" w:cs="Arial"/>
                <w:sz w:val="18"/>
              </w:rPr>
              <w:t>13</w:t>
            </w:r>
          </w:p>
        </w:tc>
        <w:tc>
          <w:tcPr>
            <w:tcW w:type="dxa" w:w="1344"/>
          </w:tcPr>
          <w:p>
            <w:pPr>
              <w:jc w:val="center"/>
              <w:bidi/>
            </w:pPr>
            <w:r>
              <w:rPr>
                <w:rFonts w:ascii="Arial" w:hAnsi="Arial" w:cs="Arial"/>
                <w:sz w:val="18"/>
              </w:rPr>
              <w:t>5</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Abu-Safe H.H.; Al-Adamat K.; Oliveira F.M.; Mazur Y.I.; Alhelais R.; Refaei M.; Esaifan M.; Ware M.E</w:t>
            </w:r>
          </w:p>
        </w:tc>
        <w:tc>
          <w:tcPr>
            <w:tcW w:type="dxa" w:w="1344"/>
          </w:tcPr>
          <w:p>
            <w:pPr>
              <w:jc w:val="center"/>
              <w:bidi/>
            </w:pPr>
            <w:r>
              <w:rPr>
                <w:rFonts w:ascii="Arial" w:hAnsi="Arial" w:cs="Arial"/>
                <w:sz w:val="18"/>
              </w:rPr>
              <w:t>Composite nanofilms of graphene and nickel: Fabrication, cw linear and nonlinear optical properties</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Applied Surface Science</w:t>
            </w:r>
          </w:p>
        </w:tc>
        <w:tc>
          <w:tcPr>
            <w:tcW w:type="dxa" w:w="1344"/>
          </w:tcPr>
          <w:p>
            <w:pPr>
              <w:jc w:val="center"/>
              <w:bidi/>
            </w:pPr>
            <w:r>
              <w:rPr>
                <w:rFonts w:ascii="Arial" w:hAnsi="Arial" w:cs="Arial"/>
                <w:sz w:val="18"/>
              </w:rPr>
              <w:t>670</w:t>
            </w:r>
          </w:p>
        </w:tc>
        <w:tc>
          <w:tcPr>
            <w:tcW w:type="dxa" w:w="1344"/>
          </w:tcPr>
          <w:p>
            <w:pPr>
              <w:jc w:val="center"/>
              <w:bidi/>
            </w:pPr>
            <w:r>
              <w:rPr>
                <w:rFonts w:ascii="Arial" w:hAnsi="Arial" w:cs="Arial"/>
                <w:sz w:val="18"/>
              </w:rPr>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Alhaj O.A.; Elsahoryi N.A.; Fekih-Romdhane F.; Wishah M.; Sweidan D.H.; Husain W.; Achraf A.; Trabel</w:t>
            </w:r>
          </w:p>
        </w:tc>
        <w:tc>
          <w:tcPr>
            <w:tcW w:type="dxa" w:w="1344"/>
          </w:tcPr>
          <w:p>
            <w:pPr>
              <w:jc w:val="center"/>
              <w:bidi/>
            </w:pPr>
            <w:r>
              <w:rPr>
                <w:rFonts w:ascii="Arial" w:hAnsi="Arial" w:cs="Arial"/>
                <w:sz w:val="18"/>
              </w:rPr>
              <w:t>Prevalence of emotional burnout among dietitians and nutritionists: a systematic review, meta-analys</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BMC Psychology</w:t>
            </w:r>
          </w:p>
        </w:tc>
        <w:tc>
          <w:tcPr>
            <w:tcW w:type="dxa" w:w="1344"/>
          </w:tcPr>
          <w:p>
            <w:pPr>
              <w:jc w:val="center"/>
              <w:bidi/>
            </w:pPr>
            <w:r>
              <w:rPr>
                <w:rFonts w:ascii="Arial" w:hAnsi="Arial" w:cs="Arial"/>
                <w:sz w:val="18"/>
              </w:rPr>
              <w:t>12</w:t>
            </w:r>
          </w:p>
        </w:tc>
        <w:tc>
          <w:tcPr>
            <w:tcW w:type="dxa" w:w="1344"/>
          </w:tcPr>
          <w:p>
            <w:pPr>
              <w:jc w:val="center"/>
              <w:bidi/>
            </w:pPr>
            <w:r>
              <w:rPr>
                <w:rFonts w:ascii="Arial" w:hAnsi="Arial" w:cs="Arial"/>
                <w:sz w:val="18"/>
              </w:rPr>
              <w:t>1</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Almuhur E.; Al-Labadi M.; Qousini M.; Bashir R.</w:t>
            </w:r>
          </w:p>
        </w:tc>
        <w:tc>
          <w:tcPr>
            <w:tcW w:type="dxa" w:w="1344"/>
          </w:tcPr>
          <w:p>
            <w:pPr>
              <w:jc w:val="center"/>
              <w:bidi/>
            </w:pPr>
            <w:r>
              <w:rPr>
                <w:rFonts w:ascii="Arial" w:hAnsi="Arial" w:cs="Arial"/>
                <w:sz w:val="18"/>
              </w:rPr>
              <w:t>Strongly Dαp-closed graphs in bitopological spaces</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International Journal of Advanced and Applied Sciences</w:t>
            </w:r>
          </w:p>
        </w:tc>
        <w:tc>
          <w:tcPr>
            <w:tcW w:type="dxa" w:w="1344"/>
          </w:tcPr>
          <w:p>
            <w:pPr>
              <w:jc w:val="center"/>
              <w:bidi/>
            </w:pPr>
            <w:r>
              <w:rPr>
                <w:rFonts w:ascii="Arial" w:hAnsi="Arial" w:cs="Arial"/>
                <w:sz w:val="18"/>
              </w:rPr>
              <w:t>11</w:t>
            </w:r>
          </w:p>
        </w:tc>
        <w:tc>
          <w:tcPr>
            <w:tcW w:type="dxa" w:w="1344"/>
          </w:tcPr>
          <w:p>
            <w:pPr>
              <w:jc w:val="center"/>
              <w:bidi/>
            </w:pPr>
            <w:r>
              <w:rPr>
                <w:rFonts w:ascii="Arial" w:hAnsi="Arial" w:cs="Arial"/>
                <w:sz w:val="18"/>
              </w:rPr>
              <w:t>9</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Jaware T.H.; Nayak C.; Parida P.; Ali N.; Sharma Y.; Hadi W.</w:t>
            </w:r>
          </w:p>
        </w:tc>
        <w:tc>
          <w:tcPr>
            <w:tcW w:type="dxa" w:w="1344"/>
          </w:tcPr>
          <w:p>
            <w:pPr>
              <w:jc w:val="center"/>
              <w:bidi/>
            </w:pPr>
            <w:r>
              <w:rPr>
                <w:rFonts w:ascii="Arial" w:hAnsi="Arial" w:cs="Arial"/>
                <w:sz w:val="18"/>
              </w:rPr>
              <w:t>Enhanced Neonatal Brain Tissue Analysis via Minimum Spanning Tree Segmentation and the Brier Score C</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Computers</w:t>
            </w:r>
          </w:p>
        </w:tc>
        <w:tc>
          <w:tcPr>
            <w:tcW w:type="dxa" w:w="1344"/>
          </w:tcPr>
          <w:p>
            <w:pPr>
              <w:jc w:val="center"/>
              <w:bidi/>
            </w:pPr>
            <w:r>
              <w:rPr>
                <w:rFonts w:ascii="Arial" w:hAnsi="Arial" w:cs="Arial"/>
                <w:sz w:val="18"/>
              </w:rPr>
              <w:t>13</w:t>
            </w:r>
          </w:p>
        </w:tc>
        <w:tc>
          <w:tcPr>
            <w:tcW w:type="dxa" w:w="1344"/>
          </w:tcPr>
          <w:p>
            <w:pPr>
              <w:jc w:val="center"/>
              <w:bidi/>
            </w:pPr>
            <w:r>
              <w:rPr>
                <w:rFonts w:ascii="Arial" w:hAnsi="Arial" w:cs="Arial"/>
                <w:sz w:val="18"/>
              </w:rPr>
              <w:t>10</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Al-Qerem W.; Jarab A.; Hammad A.; Eberhardt J.; Alasmari F.; Alkaee S.M.; Alsabaa Z.H.; Al-Ibadah M.</w:t>
            </w:r>
          </w:p>
        </w:tc>
        <w:tc>
          <w:tcPr>
            <w:tcW w:type="dxa" w:w="1344"/>
          </w:tcPr>
          <w:p>
            <w:pPr>
              <w:jc w:val="center"/>
              <w:bidi/>
            </w:pPr>
            <w:r>
              <w:rPr>
                <w:rFonts w:ascii="Arial" w:hAnsi="Arial" w:cs="Arial"/>
                <w:sz w:val="18"/>
              </w:rPr>
              <w:t>The association between health literacy and quality of life of patients with type 2 diabetes mellitu</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PLoS ONE</w:t>
            </w:r>
          </w:p>
        </w:tc>
        <w:tc>
          <w:tcPr>
            <w:tcW w:type="dxa" w:w="1344"/>
          </w:tcPr>
          <w:p>
            <w:pPr>
              <w:jc w:val="center"/>
              <w:bidi/>
            </w:pPr>
            <w:r>
              <w:rPr>
                <w:rFonts w:ascii="Arial" w:hAnsi="Arial" w:cs="Arial"/>
                <w:sz w:val="18"/>
              </w:rPr>
              <w:t>19</w:t>
            </w:r>
          </w:p>
        </w:tc>
        <w:tc>
          <w:tcPr>
            <w:tcW w:type="dxa" w:w="1344"/>
          </w:tcPr>
          <w:p>
            <w:pPr>
              <w:jc w:val="center"/>
              <w:bidi/>
            </w:pPr>
            <w:r>
              <w:rPr>
                <w:rFonts w:ascii="Arial" w:hAnsi="Arial" w:cs="Arial"/>
                <w:sz w:val="18"/>
              </w:rPr>
              <w:t>10</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Issa S.S.; Tabash M.I.; Ahmed A.; Riyadh H.A.; Alnahhal M.; Varma M.</w:t>
            </w:r>
          </w:p>
        </w:tc>
        <w:tc>
          <w:tcPr>
            <w:tcW w:type="dxa" w:w="1344"/>
          </w:tcPr>
          <w:p>
            <w:pPr>
              <w:jc w:val="center"/>
              <w:bidi/>
            </w:pPr>
            <w:r>
              <w:rPr>
                <w:rFonts w:ascii="Arial" w:hAnsi="Arial" w:cs="Arial"/>
                <w:sz w:val="18"/>
              </w:rPr>
              <w:t>Investigating the Relationship between Energy Consumption and Environmental Degradation with the Mod</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Journal of Risk and Financial Management</w:t>
            </w:r>
          </w:p>
        </w:tc>
        <w:tc>
          <w:tcPr>
            <w:tcW w:type="dxa" w:w="1344"/>
          </w:tcPr>
          <w:p>
            <w:pPr>
              <w:jc w:val="center"/>
              <w:bidi/>
            </w:pPr>
            <w:r>
              <w:rPr>
                <w:rFonts w:ascii="Arial" w:hAnsi="Arial" w:cs="Arial"/>
                <w:sz w:val="18"/>
              </w:rPr>
              <w:t>17</w:t>
            </w:r>
          </w:p>
        </w:tc>
        <w:tc>
          <w:tcPr>
            <w:tcW w:type="dxa" w:w="1344"/>
          </w:tcPr>
          <w:p>
            <w:pPr>
              <w:jc w:val="center"/>
              <w:bidi/>
            </w:pPr>
            <w:r>
              <w:rPr>
                <w:rFonts w:ascii="Arial" w:hAnsi="Arial" w:cs="Arial"/>
                <w:sz w:val="18"/>
              </w:rPr>
              <w:t>9</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Matar N.; Al-Jaber A.; Matar W.</w:t>
            </w:r>
          </w:p>
        </w:tc>
        <w:tc>
          <w:tcPr>
            <w:tcW w:type="dxa" w:w="1344"/>
          </w:tcPr>
          <w:p>
            <w:pPr>
              <w:jc w:val="center"/>
              <w:bidi/>
            </w:pPr>
            <w:r>
              <w:rPr>
                <w:rFonts w:ascii="Arial" w:hAnsi="Arial" w:cs="Arial"/>
                <w:sz w:val="18"/>
              </w:rPr>
              <w:t>Unlocking Business Intelligence and Data Analytics Adoption Patterns: Insights from Jordanian Higher</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Engineering, Technology and Applied Science Research</w:t>
            </w:r>
          </w:p>
        </w:tc>
        <w:tc>
          <w:tcPr>
            <w:tcW w:type="dxa" w:w="1344"/>
          </w:tcPr>
          <w:p>
            <w:pPr>
              <w:jc w:val="center"/>
              <w:bidi/>
            </w:pPr>
            <w:r>
              <w:rPr>
                <w:rFonts w:ascii="Arial" w:hAnsi="Arial" w:cs="Arial"/>
                <w:sz w:val="18"/>
              </w:rPr>
              <w:t>14</w:t>
            </w:r>
          </w:p>
        </w:tc>
        <w:tc>
          <w:tcPr>
            <w:tcW w:type="dxa" w:w="1344"/>
          </w:tcPr>
          <w:p>
            <w:pPr>
              <w:jc w:val="center"/>
              <w:bidi/>
            </w:pPr>
            <w:r>
              <w:rPr>
                <w:rFonts w:ascii="Arial" w:hAnsi="Arial" w:cs="Arial"/>
                <w:sz w:val="18"/>
              </w:rPr>
              <w:t>5</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Hussein N.M.; Al-Musawi T.J.; Kumar N.; Sharma R.; Mohammed A.I.; Sharma I.; Kalyani T.; Dehghanipou</w:t>
            </w:r>
          </w:p>
        </w:tc>
        <w:tc>
          <w:tcPr>
            <w:tcW w:type="dxa" w:w="1344"/>
          </w:tcPr>
          <w:p>
            <w:pPr>
              <w:jc w:val="center"/>
              <w:bidi/>
            </w:pPr>
            <w:r>
              <w:rPr>
                <w:rFonts w:ascii="Arial" w:hAnsi="Arial" w:cs="Arial"/>
                <w:sz w:val="18"/>
              </w:rPr>
              <w:t>The first and cost-effective nano-biocomposite znpor/rgo/tio2 as efficient UV photocatalysts for eth</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Inorganic Chemistry Communications</w:t>
            </w:r>
          </w:p>
        </w:tc>
        <w:tc>
          <w:tcPr>
            <w:tcW w:type="dxa" w:w="1344"/>
          </w:tcPr>
          <w:p>
            <w:pPr>
              <w:jc w:val="center"/>
              <w:bidi/>
            </w:pPr>
            <w:r>
              <w:rPr>
                <w:rFonts w:ascii="Arial" w:hAnsi="Arial" w:cs="Arial"/>
                <w:sz w:val="18"/>
              </w:rPr>
              <w:t>170</w:t>
            </w:r>
          </w:p>
        </w:tc>
        <w:tc>
          <w:tcPr>
            <w:tcW w:type="dxa" w:w="1344"/>
          </w:tcPr>
          <w:p>
            <w:pPr>
              <w:jc w:val="center"/>
              <w:bidi/>
            </w:pPr>
            <w:r>
              <w:rPr>
                <w:rFonts w:ascii="Arial" w:hAnsi="Arial" w:cs="Arial"/>
                <w:sz w:val="18"/>
              </w:rPr>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Tabash M.I.; Farooq U.; Issa S.S.</w:t>
            </w:r>
          </w:p>
        </w:tc>
        <w:tc>
          <w:tcPr>
            <w:tcW w:type="dxa" w:w="1344"/>
          </w:tcPr>
          <w:p>
            <w:pPr>
              <w:jc w:val="center"/>
              <w:bidi/>
            </w:pPr>
            <w:r>
              <w:rPr>
                <w:rFonts w:ascii="Arial" w:hAnsi="Arial" w:cs="Arial"/>
                <w:sz w:val="18"/>
              </w:rPr>
              <w:t xml:space="preserve">BRIC in flux: Understanding the influence of energy policy uncertainty on foreign direct investment </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OPEC Energy Review</w:t>
            </w:r>
          </w:p>
        </w:tc>
        <w:tc>
          <w:tcPr>
            <w:tcW w:type="dxa" w:w="1344"/>
          </w:tcPr>
          <w:p>
            <w:pPr>
              <w:jc w:val="center"/>
              <w:bidi/>
            </w:pPr>
            <w:r>
              <w:rPr>
                <w:rFonts w:ascii="Arial" w:hAnsi="Arial" w:cs="Arial"/>
                <w:sz w:val="18"/>
              </w:rPr>
              <w:t>48</w:t>
            </w:r>
          </w:p>
        </w:tc>
        <w:tc>
          <w:tcPr>
            <w:tcW w:type="dxa" w:w="1344"/>
          </w:tcPr>
          <w:p>
            <w:pPr>
              <w:jc w:val="center"/>
              <w:bidi/>
            </w:pPr>
            <w:r>
              <w:rPr>
                <w:rFonts w:ascii="Arial" w:hAnsi="Arial" w:cs="Arial"/>
                <w:sz w:val="18"/>
              </w:rPr>
              <w:t>4</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Ibrahim O.M.; Al Mazrouei N.; Elnour A.A.; Ibrahim R.; Abdel-Qader D.H.; El Amin Ibrahim Hamid R.M.;</w:t>
            </w:r>
          </w:p>
        </w:tc>
        <w:tc>
          <w:tcPr>
            <w:tcW w:type="dxa" w:w="1344"/>
          </w:tcPr>
          <w:p>
            <w:pPr>
              <w:jc w:val="center"/>
              <w:bidi/>
            </w:pPr>
            <w:r>
              <w:rPr>
                <w:rFonts w:ascii="Arial" w:hAnsi="Arial" w:cs="Arial"/>
                <w:sz w:val="18"/>
              </w:rPr>
              <w:t>Randomized controlled trial parallel-group on optimizing community pharmacist’s care for the elderly</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PLoS ONE</w:t>
            </w:r>
          </w:p>
        </w:tc>
        <w:tc>
          <w:tcPr>
            <w:tcW w:type="dxa" w:w="1344"/>
          </w:tcPr>
          <w:p>
            <w:pPr>
              <w:jc w:val="center"/>
              <w:bidi/>
            </w:pPr>
            <w:r>
              <w:rPr>
                <w:rFonts w:ascii="Arial" w:hAnsi="Arial" w:cs="Arial"/>
                <w:sz w:val="18"/>
              </w:rPr>
              <w:t>19</w:t>
            </w:r>
          </w:p>
        </w:tc>
        <w:tc>
          <w:tcPr>
            <w:tcW w:type="dxa" w:w="1344"/>
          </w:tcPr>
          <w:p>
            <w:pPr>
              <w:jc w:val="center"/>
              <w:bidi/>
            </w:pPr>
            <w:r>
              <w:rPr>
                <w:rFonts w:ascii="Arial" w:hAnsi="Arial" w:cs="Arial"/>
                <w:sz w:val="18"/>
              </w:rPr>
              <w:t>10</w:t>
            </w:r>
          </w:p>
        </w:tc>
      </w:tr>
      <w:tr>
        <w:tc>
          <w:tcPr>
            <w:tcW w:type="dxa" w:w="1344"/>
          </w:tcPr>
          <w:p>
            <w:pPr>
              <w:jc w:val="center"/>
              <w:bidi/>
            </w:pPr>
            <w:r>
              <w:rPr>
                <w:rFonts w:ascii="Arial" w:hAnsi="Arial" w:cs="Arial"/>
                <w:sz w:val="18"/>
              </w:rPr>
            </w:r>
          </w:p>
        </w:tc>
        <w:tc>
          <w:tcPr>
            <w:tcW w:type="dxa" w:w="1344"/>
          </w:tcPr>
          <w:p>
            <w:pPr>
              <w:jc w:val="center"/>
              <w:bidi/>
            </w:pPr>
            <w:r>
              <w:rPr>
                <w:rFonts w:ascii="Arial" w:hAnsi="Arial" w:cs="Arial"/>
                <w:sz w:val="18"/>
              </w:rPr>
              <w:t>Al-Hakim M.; Hanna I.M.; Sameer I.S.; Samer Z.; Mohammad A.B.</w:t>
            </w:r>
          </w:p>
        </w:tc>
        <w:tc>
          <w:tcPr>
            <w:tcW w:type="dxa" w:w="1344"/>
          </w:tcPr>
          <w:p>
            <w:pPr>
              <w:jc w:val="center"/>
              <w:bidi/>
            </w:pPr>
            <w:r>
              <w:rPr>
                <w:rFonts w:ascii="Arial" w:hAnsi="Arial" w:cs="Arial"/>
                <w:sz w:val="18"/>
              </w:rPr>
              <w:t>Ijara Ending with Ownership (Lease) A Case Study of Jordanian Islamic Banks</w:t>
            </w:r>
          </w:p>
        </w:tc>
        <w:tc>
          <w:tcPr>
            <w:tcW w:type="dxa" w:w="1344"/>
          </w:tcPr>
          <w:p>
            <w:pPr>
              <w:jc w:val="center"/>
              <w:bidi/>
            </w:pPr>
            <w:r>
              <w:rPr>
                <w:rFonts w:ascii="Arial" w:hAnsi="Arial" w:cs="Arial"/>
                <w:sz w:val="18"/>
              </w:rPr>
              <w:t>2024</w:t>
            </w:r>
          </w:p>
        </w:tc>
        <w:tc>
          <w:tcPr>
            <w:tcW w:type="dxa" w:w="1344"/>
          </w:tcPr>
          <w:p>
            <w:pPr>
              <w:jc w:val="center"/>
              <w:bidi/>
            </w:pPr>
            <w:r>
              <w:rPr>
                <w:rFonts w:ascii="Arial" w:hAnsi="Arial" w:cs="Arial"/>
                <w:sz w:val="18"/>
              </w:rPr>
              <w:t>Journal of Ecohumanism</w:t>
            </w:r>
          </w:p>
        </w:tc>
        <w:tc>
          <w:tcPr>
            <w:tcW w:type="dxa" w:w="1344"/>
          </w:tcPr>
          <w:p>
            <w:pPr>
              <w:jc w:val="center"/>
              <w:bidi/>
            </w:pPr>
            <w:r>
              <w:rPr>
                <w:rFonts w:ascii="Arial" w:hAnsi="Arial" w:cs="Arial"/>
                <w:sz w:val="18"/>
              </w:rPr>
              <w:t>3</w:t>
            </w:r>
          </w:p>
        </w:tc>
        <w:tc>
          <w:tcPr>
            <w:tcW w:type="dxa" w:w="1344"/>
          </w:tcPr>
          <w:p>
            <w:pPr>
              <w:jc w:val="center"/>
              <w:bidi/>
            </w:pPr>
            <w:r>
              <w:rPr>
                <w:rFonts w:ascii="Arial" w:hAnsi="Arial" w:cs="Arial"/>
                <w:sz w:val="18"/>
              </w:rPr>
              <w:t>7</w:t>
            </w:r>
          </w:p>
        </w:tc>
      </w:tr>
    </w:tbl>
    <w:p>
      <w:pPr>
        <w:jc w:val="center"/>
      </w:pPr>
      <w:r>
        <w:rPr>
          <w:rFonts w:ascii="Arial" w:hAnsi="Arial" w:cs="Arial"/>
          <w:i/>
          <w:sz w:val="20"/>
        </w:rPr>
        <w:t>... وغيرها (435 صف إضافي)</w:t>
      </w:r>
    </w:p>
    <w:p/>
    <w:p>
      <w:pPr>
        <w:jc w:val="right"/>
        <w:bidi/>
      </w:pPr>
      <w:r>
        <w:rPr>
          <w:rFonts w:ascii="Arial" w:hAnsi="Arial" w:cs="Arial"/>
          <w:sz w:val="24"/>
        </w:rPr>
        <w:t>ويوضح الجدول (3-3) التالي نسبة الأبحاث المنشورة إلى عدد أعضاء هيئة التدريس خلال السنوات الأخيرة، حيث يُلاحظ تحسن ملحوظ ومستمر في هذه النسبة، إذ ارتفعت نسبة النشر في قاعدة SCOPUS من (0.33) بحث لكل عضو هيئة تدريس عام 2018 إلى (1.9) بحث عام 2024، مما يعكس التزام الجامعة بتعزيز البحث العلمي ودعم أعضاء هيئة التدريس.</w:t>
      </w:r>
    </w:p>
    <w:p>
      <w:pPr>
        <w:jc w:val="center"/>
        <w:bidi/>
      </w:pPr>
      <w:r>
        <w:rPr>
          <w:rFonts w:ascii="Arial" w:hAnsi="Arial" w:cs="Arial"/>
          <w:b/>
          <w:sz w:val="24"/>
        </w:rPr>
        <w:t>جدول (3-3): نسبة النشر في Scopus و Google Scholar</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bidi/>
            </w:pPr>
            <w:r>
              <w:rPr>
                <w:rFonts w:ascii="Arial" w:hAnsi="Arial" w:cs="Arial"/>
                <w:b/>
                <w:sz w:val="18"/>
              </w:rPr>
              <w:t>year</w:t>
            </w:r>
          </w:p>
        </w:tc>
        <w:tc>
          <w:tcPr>
            <w:tcW w:type="dxa" w:w="2351"/>
          </w:tcPr>
          <w:p>
            <w:pPr>
              <w:jc w:val="center"/>
              <w:bidi/>
            </w:pPr>
            <w:r>
              <w:rPr>
                <w:rFonts w:ascii="Arial" w:hAnsi="Arial" w:cs="Arial"/>
                <w:b/>
                <w:sz w:val="18"/>
              </w:rPr>
              <w:t>scopus_ratio</w:t>
            </w:r>
          </w:p>
        </w:tc>
        <w:tc>
          <w:tcPr>
            <w:tcW w:type="dxa" w:w="2351"/>
          </w:tcPr>
          <w:p>
            <w:pPr>
              <w:jc w:val="center"/>
              <w:bidi/>
            </w:pPr>
            <w:r>
              <w:rPr>
                <w:rFonts w:ascii="Arial" w:hAnsi="Arial" w:cs="Arial"/>
                <w:b/>
                <w:sz w:val="18"/>
              </w:rPr>
              <w:t>google_ratio</w:t>
            </w:r>
          </w:p>
        </w:tc>
        <w:tc>
          <w:tcPr>
            <w:tcW w:type="dxa" w:w="2351"/>
          </w:tcPr>
          <w:p>
            <w:pPr>
              <w:jc w:val="center"/>
              <w:bidi/>
            </w:pPr>
            <w:r>
              <w:rPr>
                <w:rFonts w:ascii="Arial" w:hAnsi="Arial" w:cs="Arial"/>
                <w:b/>
                <w:sz w:val="18"/>
              </w:rPr>
              <w:t>notes</w:t>
            </w:r>
          </w:p>
        </w:tc>
      </w:tr>
      <w:tr>
        <w:tc>
          <w:tcPr>
            <w:tcW w:type="dxa" w:w="2351"/>
          </w:tcPr>
          <w:p>
            <w:pPr>
              <w:jc w:val="center"/>
              <w:bidi/>
            </w:pPr>
            <w:r>
              <w:rPr>
                <w:rFonts w:ascii="Arial" w:hAnsi="Arial" w:cs="Arial"/>
                <w:sz w:val="18"/>
              </w:rPr>
              <w:t>2024</w:t>
            </w:r>
          </w:p>
        </w:tc>
        <w:tc>
          <w:tcPr>
            <w:tcW w:type="dxa" w:w="2351"/>
          </w:tcPr>
          <w:p>
            <w:pPr>
              <w:jc w:val="center"/>
              <w:bidi/>
            </w:pPr>
            <w:r>
              <w:rPr>
                <w:rFonts w:ascii="Arial" w:hAnsi="Arial" w:cs="Arial"/>
                <w:sz w:val="18"/>
              </w:rPr>
              <w:t>1.9</w:t>
            </w:r>
          </w:p>
        </w:tc>
        <w:tc>
          <w:tcPr>
            <w:tcW w:type="dxa" w:w="2351"/>
          </w:tcPr>
          <w:p>
            <w:pPr>
              <w:jc w:val="center"/>
              <w:bidi/>
            </w:pPr>
            <w:r>
              <w:rPr>
                <w:rFonts w:ascii="Arial" w:hAnsi="Arial" w:cs="Arial"/>
                <w:sz w:val="18"/>
              </w:rPr>
              <w:t>2.5</w:t>
            </w:r>
          </w:p>
        </w:tc>
        <w:tc>
          <w:tcPr>
            <w:tcW w:type="dxa" w:w="2351"/>
          </w:tcPr>
          <w:p>
            <w:pPr>
              <w:jc w:val="center"/>
              <w:bidi/>
            </w:pPr>
            <w:r>
              <w:rPr>
                <w:rFonts w:ascii="Arial" w:hAnsi="Arial" w:cs="Arial"/>
                <w:sz w:val="18"/>
              </w:rPr>
              <w:t>لكامل العام</w:t>
            </w:r>
          </w:p>
        </w:tc>
      </w:tr>
      <w:tr>
        <w:tc>
          <w:tcPr>
            <w:tcW w:type="dxa" w:w="2351"/>
          </w:tcPr>
          <w:p>
            <w:pPr>
              <w:jc w:val="center"/>
              <w:bidi/>
            </w:pPr>
            <w:r>
              <w:rPr>
                <w:rFonts w:ascii="Arial" w:hAnsi="Arial" w:cs="Arial"/>
                <w:sz w:val="18"/>
              </w:rPr>
              <w:t>2023</w:t>
            </w:r>
          </w:p>
        </w:tc>
        <w:tc>
          <w:tcPr>
            <w:tcW w:type="dxa" w:w="2351"/>
          </w:tcPr>
          <w:p>
            <w:pPr>
              <w:jc w:val="center"/>
              <w:bidi/>
            </w:pPr>
            <w:r>
              <w:rPr>
                <w:rFonts w:ascii="Arial" w:hAnsi="Arial" w:cs="Arial"/>
                <w:sz w:val="18"/>
              </w:rPr>
              <w:t>1.01</w:t>
            </w:r>
          </w:p>
        </w:tc>
        <w:tc>
          <w:tcPr>
            <w:tcW w:type="dxa" w:w="2351"/>
          </w:tcPr>
          <w:p>
            <w:pPr>
              <w:jc w:val="center"/>
              <w:bidi/>
            </w:pPr>
            <w:r>
              <w:rPr>
                <w:rFonts w:ascii="Arial" w:hAnsi="Arial" w:cs="Arial"/>
                <w:sz w:val="18"/>
              </w:rPr>
              <w:t>1.7</w:t>
            </w:r>
          </w:p>
        </w:tc>
        <w:tc>
          <w:tcPr>
            <w:tcW w:type="dxa" w:w="2351"/>
          </w:tcPr>
          <w:p>
            <w:pPr>
              <w:jc w:val="center"/>
              <w:bidi/>
            </w:pPr>
            <w:r>
              <w:rPr>
                <w:rFonts w:ascii="Arial" w:hAnsi="Arial" w:cs="Arial"/>
                <w:sz w:val="18"/>
              </w:rPr>
              <w:t>لكامل العام</w:t>
            </w:r>
          </w:p>
        </w:tc>
      </w:tr>
      <w:tr>
        <w:tc>
          <w:tcPr>
            <w:tcW w:type="dxa" w:w="2351"/>
          </w:tcPr>
          <w:p>
            <w:pPr>
              <w:jc w:val="center"/>
              <w:bidi/>
            </w:pPr>
            <w:r>
              <w:rPr>
                <w:rFonts w:ascii="Arial" w:hAnsi="Arial" w:cs="Arial"/>
                <w:sz w:val="18"/>
              </w:rPr>
              <w:t>2022</w:t>
            </w:r>
          </w:p>
        </w:tc>
        <w:tc>
          <w:tcPr>
            <w:tcW w:type="dxa" w:w="2351"/>
          </w:tcPr>
          <w:p>
            <w:pPr>
              <w:jc w:val="center"/>
              <w:bidi/>
            </w:pPr>
            <w:r>
              <w:rPr>
                <w:rFonts w:ascii="Arial" w:hAnsi="Arial" w:cs="Arial"/>
                <w:sz w:val="18"/>
              </w:rPr>
              <w:t>0.94</w:t>
            </w:r>
          </w:p>
        </w:tc>
        <w:tc>
          <w:tcPr>
            <w:tcW w:type="dxa" w:w="2351"/>
          </w:tcPr>
          <w:p>
            <w:pPr>
              <w:jc w:val="center"/>
              <w:bidi/>
            </w:pPr>
            <w:r>
              <w:rPr>
                <w:rFonts w:ascii="Arial" w:hAnsi="Arial" w:cs="Arial"/>
                <w:sz w:val="18"/>
              </w:rPr>
              <w:t>1.52</w:t>
            </w:r>
          </w:p>
        </w:tc>
        <w:tc>
          <w:tcPr>
            <w:tcW w:type="dxa" w:w="2351"/>
          </w:tcPr>
          <w:p>
            <w:pPr>
              <w:jc w:val="center"/>
              <w:bidi/>
            </w:pPr>
            <w:r>
              <w:rPr>
                <w:rFonts w:ascii="Arial" w:hAnsi="Arial" w:cs="Arial"/>
                <w:sz w:val="18"/>
              </w:rPr>
              <w:t>لكامل العام</w:t>
            </w:r>
          </w:p>
        </w:tc>
      </w:tr>
      <w:tr>
        <w:tc>
          <w:tcPr>
            <w:tcW w:type="dxa" w:w="2351"/>
          </w:tcPr>
          <w:p>
            <w:pPr>
              <w:jc w:val="center"/>
              <w:bidi/>
            </w:pPr>
            <w:r>
              <w:rPr>
                <w:rFonts w:ascii="Arial" w:hAnsi="Arial" w:cs="Arial"/>
                <w:sz w:val="18"/>
              </w:rPr>
              <w:t>2021</w:t>
            </w:r>
          </w:p>
        </w:tc>
        <w:tc>
          <w:tcPr>
            <w:tcW w:type="dxa" w:w="2351"/>
          </w:tcPr>
          <w:p>
            <w:pPr>
              <w:jc w:val="center"/>
              <w:bidi/>
            </w:pPr>
            <w:r>
              <w:rPr>
                <w:rFonts w:ascii="Arial" w:hAnsi="Arial" w:cs="Arial"/>
                <w:sz w:val="18"/>
              </w:rPr>
              <w:t>0.76</w:t>
            </w:r>
          </w:p>
        </w:tc>
        <w:tc>
          <w:tcPr>
            <w:tcW w:type="dxa" w:w="2351"/>
          </w:tcPr>
          <w:p>
            <w:pPr>
              <w:jc w:val="center"/>
              <w:bidi/>
            </w:pPr>
            <w:r>
              <w:rPr>
                <w:rFonts w:ascii="Arial" w:hAnsi="Arial" w:cs="Arial"/>
                <w:sz w:val="18"/>
              </w:rPr>
              <w:t>1.46</w:t>
            </w:r>
          </w:p>
        </w:tc>
        <w:tc>
          <w:tcPr>
            <w:tcW w:type="dxa" w:w="2351"/>
          </w:tcPr>
          <w:p>
            <w:pPr>
              <w:jc w:val="center"/>
              <w:bidi/>
            </w:pPr>
            <w:r>
              <w:rPr>
                <w:rFonts w:ascii="Arial" w:hAnsi="Arial" w:cs="Arial"/>
                <w:sz w:val="18"/>
              </w:rPr>
              <w:t>لكامل العام</w:t>
            </w:r>
          </w:p>
        </w:tc>
      </w:tr>
      <w:tr>
        <w:tc>
          <w:tcPr>
            <w:tcW w:type="dxa" w:w="2351"/>
          </w:tcPr>
          <w:p>
            <w:pPr>
              <w:jc w:val="center"/>
              <w:bidi/>
            </w:pPr>
            <w:r>
              <w:rPr>
                <w:rFonts w:ascii="Arial" w:hAnsi="Arial" w:cs="Arial"/>
                <w:sz w:val="18"/>
              </w:rPr>
              <w:t>2020</w:t>
            </w:r>
          </w:p>
        </w:tc>
        <w:tc>
          <w:tcPr>
            <w:tcW w:type="dxa" w:w="2351"/>
          </w:tcPr>
          <w:p>
            <w:pPr>
              <w:jc w:val="center"/>
              <w:bidi/>
            </w:pPr>
            <w:r>
              <w:rPr>
                <w:rFonts w:ascii="Arial" w:hAnsi="Arial" w:cs="Arial"/>
                <w:sz w:val="18"/>
              </w:rPr>
              <w:t>0.57</w:t>
            </w:r>
          </w:p>
        </w:tc>
        <w:tc>
          <w:tcPr>
            <w:tcW w:type="dxa" w:w="2351"/>
          </w:tcPr>
          <w:p>
            <w:pPr>
              <w:jc w:val="center"/>
              <w:bidi/>
            </w:pPr>
            <w:r>
              <w:rPr>
                <w:rFonts w:ascii="Arial" w:hAnsi="Arial" w:cs="Arial"/>
                <w:sz w:val="18"/>
              </w:rPr>
              <w:t>1.47</w:t>
            </w:r>
          </w:p>
        </w:tc>
        <w:tc>
          <w:tcPr>
            <w:tcW w:type="dxa" w:w="2351"/>
          </w:tcPr>
          <w:p>
            <w:pPr>
              <w:jc w:val="center"/>
              <w:bidi/>
            </w:pPr>
            <w:r>
              <w:rPr>
                <w:rFonts w:ascii="Arial" w:hAnsi="Arial" w:cs="Arial"/>
                <w:sz w:val="18"/>
              </w:rPr>
              <w:t>لكامل العام</w:t>
            </w:r>
          </w:p>
        </w:tc>
      </w:tr>
      <w:tr>
        <w:tc>
          <w:tcPr>
            <w:tcW w:type="dxa" w:w="2351"/>
          </w:tcPr>
          <w:p>
            <w:pPr>
              <w:jc w:val="center"/>
              <w:bidi/>
            </w:pPr>
            <w:r>
              <w:rPr>
                <w:rFonts w:ascii="Arial" w:hAnsi="Arial" w:cs="Arial"/>
                <w:sz w:val="18"/>
              </w:rPr>
              <w:t>2019</w:t>
            </w:r>
          </w:p>
        </w:tc>
        <w:tc>
          <w:tcPr>
            <w:tcW w:type="dxa" w:w="2351"/>
          </w:tcPr>
          <w:p>
            <w:pPr>
              <w:jc w:val="center"/>
              <w:bidi/>
            </w:pPr>
            <w:r>
              <w:rPr>
                <w:rFonts w:ascii="Arial" w:hAnsi="Arial" w:cs="Arial"/>
                <w:sz w:val="18"/>
              </w:rPr>
              <w:t>0.33</w:t>
            </w:r>
          </w:p>
        </w:tc>
        <w:tc>
          <w:tcPr>
            <w:tcW w:type="dxa" w:w="2351"/>
          </w:tcPr>
          <w:p>
            <w:pPr>
              <w:jc w:val="center"/>
              <w:bidi/>
            </w:pPr>
            <w:r>
              <w:rPr>
                <w:rFonts w:ascii="Arial" w:hAnsi="Arial" w:cs="Arial"/>
                <w:sz w:val="18"/>
              </w:rPr>
              <w:t>1.15</w:t>
            </w:r>
          </w:p>
        </w:tc>
        <w:tc>
          <w:tcPr>
            <w:tcW w:type="dxa" w:w="2351"/>
          </w:tcPr>
          <w:p>
            <w:pPr>
              <w:jc w:val="center"/>
              <w:bidi/>
            </w:pPr>
            <w:r>
              <w:rPr>
                <w:rFonts w:ascii="Arial" w:hAnsi="Arial" w:cs="Arial"/>
                <w:sz w:val="18"/>
              </w:rPr>
              <w:t>لكامل العام</w:t>
            </w:r>
          </w:p>
        </w:tc>
      </w:tr>
      <w:tr>
        <w:tc>
          <w:tcPr>
            <w:tcW w:type="dxa" w:w="2351"/>
          </w:tcPr>
          <w:p>
            <w:pPr>
              <w:jc w:val="center"/>
              <w:bidi/>
            </w:pPr>
            <w:r>
              <w:rPr>
                <w:rFonts w:ascii="Arial" w:hAnsi="Arial" w:cs="Arial"/>
                <w:sz w:val="18"/>
              </w:rPr>
              <w:t>2018</w:t>
            </w:r>
          </w:p>
        </w:tc>
        <w:tc>
          <w:tcPr>
            <w:tcW w:type="dxa" w:w="2351"/>
          </w:tcPr>
          <w:p>
            <w:pPr>
              <w:jc w:val="center"/>
              <w:bidi/>
            </w:pPr>
            <w:r>
              <w:rPr>
                <w:rFonts w:ascii="Arial" w:hAnsi="Arial" w:cs="Arial"/>
                <w:sz w:val="18"/>
              </w:rPr>
              <w:t>0.33</w:t>
            </w:r>
          </w:p>
        </w:tc>
        <w:tc>
          <w:tcPr>
            <w:tcW w:type="dxa" w:w="2351"/>
          </w:tcPr>
          <w:p>
            <w:pPr>
              <w:jc w:val="center"/>
              <w:bidi/>
            </w:pPr>
            <w:r>
              <w:rPr>
                <w:rFonts w:ascii="Arial" w:hAnsi="Arial" w:cs="Arial"/>
                <w:sz w:val="18"/>
              </w:rPr>
              <w:t>1.08</w:t>
            </w:r>
          </w:p>
        </w:tc>
        <w:tc>
          <w:tcPr>
            <w:tcW w:type="dxa" w:w="2351"/>
          </w:tcPr>
          <w:p>
            <w:pPr>
              <w:jc w:val="center"/>
              <w:bidi/>
            </w:pPr>
            <w:r>
              <w:rPr>
                <w:rFonts w:ascii="Arial" w:hAnsi="Arial" w:cs="Arial"/>
                <w:sz w:val="18"/>
              </w:rPr>
              <w:t>لكامل العام</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