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3.4: نسبة رسائل الماجستير المنشورة في مجلات محكمة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3.4 : نسبة الرسائل الجامعية المنجزة والمنشورة فعليًا في مجلات محكمة لأعضاء هيئة التدريس من حملة الما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6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i/>
          <w:sz w:val="20"/>
        </w:rPr>
        <w:t>يبين الشكل (7-3) أدناه نسبة المنشور من رسائل الماجستير في مجلات محكمة خلال العام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