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4.1: نسبة الانحرافات بين المبالغ المقدرة والفعلية في الموازنة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 xml:space="preserve">4.1 : نسبة الانحرافات ما بين المبالغ المقدرة في الموازنة والمبالغ الفعلية في الحساب الختامي للنفقات </w:t>
      </w:r>
    </w:p>
    <w:p>
      <w:pPr>
        <w:jc w:val="right"/>
        <w:bidi/>
      </w:pPr>
      <w:r>
        <w:rPr>
          <w:rFonts w:ascii="Arial" w:hAnsi="Arial" w:cs="Arial"/>
          <w:sz w:val="24"/>
        </w:rPr>
        <w:t>بلغ إجمالي المصاريف المقدّرة لعام (2023) في الموازنة (16325600) دينارًا (ستة عشر مليونًا وثلاثمائة و</w:t>
      </w:r>
    </w:p>
    <w:p>
      <w:pPr>
        <w:jc w:val="right"/>
        <w:bidi/>
      </w:pPr>
      <w:r>
        <w:rPr>
          <w:rFonts w:ascii="Arial" w:hAnsi="Arial" w:cs="Arial"/>
          <w:sz w:val="24"/>
        </w:rPr>
        <w:t>وبلغ إجمالي المصاريف الفعلية لعام (2023) (16505740) دينارًا. أي: بزيادة وصلت إلى (1.1%) عن المقدّر.</w:t>
      </w:r>
    </w:p>
    <w:p>
      <w:pPr>
        <w:jc w:val="right"/>
        <w:bidi/>
      </w:pPr>
      <w:r>
        <w:rPr>
          <w:rFonts w:ascii="Arial" w:hAnsi="Arial" w:cs="Arial"/>
          <w:sz w:val="24"/>
        </w:rPr>
        <w:t>كما بلغ إجمالي المصاريف المقدّرة لعام (2024) في الموازنة (16545000) دينارًا (ستة عشر مليونًا وخمسمائ</w:t>
      </w:r>
    </w:p>
    <w:p>
      <w:pPr>
        <w:jc w:val="right"/>
        <w:bidi/>
      </w:pPr>
      <w:r>
        <w:rPr>
          <w:rFonts w:ascii="Arial" w:hAnsi="Arial" w:cs="Arial"/>
          <w:sz w:val="24"/>
        </w:rPr>
        <w:t>بلغ إجمالي المصاريف الفعلية لعام (2024) مبلغ (16873179) دينارًا (ستة عشر مليونًا وثمانمائة وثلاثة وس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