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 w:cs="Arial"/>
          <w:sz w:val="36"/>
        </w:rPr>
        <w:t>4.2: نسبة تغطية الإيرادات المباشرة للنفقات المباشرة</w:t>
      </w:r>
    </w:p>
    <w:p/>
    <w:p>
      <w:pPr>
        <w:jc w:val="right"/>
        <w:bidi/>
      </w:pPr>
      <w:r>
        <w:rPr>
          <w:rFonts w:ascii="Arial" w:hAnsi="Arial" w:cs="Arial"/>
          <w:sz w:val="24"/>
        </w:rPr>
        <w:t>4.2: نسبة تغطية الإيرادات المباشرة للنفقات المباشرة في الجامعة.</w:t>
      </w:r>
    </w:p>
    <w:p>
      <w:pPr>
        <w:jc w:val="right"/>
        <w:bidi/>
      </w:pPr>
      <w:r>
        <w:rPr>
          <w:rFonts w:ascii="Arial" w:hAnsi="Arial" w:cs="Arial"/>
          <w:sz w:val="24"/>
        </w:rPr>
        <w:t>يبين الجدول الآتي الإيرادات التشغيلية والنفقات التشغيلية على مستوى الجامعة للعامين 2023 و2024:</w:t>
      </w:r>
    </w:p>
    <w:p>
      <w:pPr>
        <w:jc w:val="right"/>
        <w:bidi/>
      </w:pPr>
      <w:r>
        <w:rPr>
          <w:rFonts w:ascii="Arial" w:hAnsi="Arial" w:cs="Arial"/>
          <w:sz w:val="24"/>
        </w:rPr>
        <w:t>بلغت الإيرادات التشغيلية (22,168,849) دينارًا، (اثنان وعشرون مليونًا ومائة وثمانية وستون ألفًا وثمان</w:t>
      </w:r>
    </w:p>
    <w:p>
      <w:pPr>
        <w:jc w:val="right"/>
        <w:bidi/>
      </w:pPr>
      <w:r>
        <w:rPr>
          <w:rFonts w:ascii="Arial" w:hAnsi="Arial" w:cs="Arial"/>
          <w:sz w:val="24"/>
        </w:rPr>
        <w:t>وبلغت الإيرادات التشغيلية (24,699,980) دينارًا، (أربعة وعشرون مليونًا وستمائة وتسعة وتسعون ألفًا وتس</w:t>
      </w:r>
    </w:p>
    <w:p>
      <w:pPr>
        <w:jc w:val="right"/>
        <w:bidi/>
      </w:pPr>
      <w:r>
        <w:rPr>
          <w:rFonts w:ascii="Arial" w:hAnsi="Arial" w:cs="Arial"/>
          <w:sz w:val="24"/>
        </w:rPr>
        <w:t>وبالتالي نسبة زيادة تغطية الإيرادات التشغيلية للنفقات في العام 2024 عن العام السابق (2023) بواقع (17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