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4.4: مبلغ الزيادة/النقص في صافي الدخل من الوحدات الإنتاجية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4.4 : مبلغ الزيادة (النقص) في صافي الدخل (الخسارة) من الوحدات الإنتاجية</w:t>
      </w:r>
    </w:p>
    <w:p>
      <w:pPr>
        <w:jc w:val="right"/>
        <w:bidi/>
      </w:pPr>
      <w:r>
        <w:rPr>
          <w:rFonts w:ascii="Arial" w:hAnsi="Arial" w:cs="Arial"/>
          <w:sz w:val="24"/>
        </w:rPr>
        <w:t>بلغت إيرادات الوحدات الإنتاجية (إيجار المحلات التجارية) (175742) دينارًا (مائة وخمسة وسبعين ألفًا وس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