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 w:cs="Arial"/>
          <w:sz w:val="36"/>
        </w:rPr>
        <w:t>4.6: مبلغ الزيادة/النقص في الوفر/العجز النقدي السنوي</w:t>
      </w:r>
    </w:p>
    <w:p/>
    <w:p>
      <w:pPr>
        <w:jc w:val="right"/>
        <w:bidi/>
      </w:pPr>
      <w:r>
        <w:rPr>
          <w:rFonts w:ascii="Arial" w:hAnsi="Arial" w:cs="Arial"/>
          <w:sz w:val="24"/>
        </w:rPr>
        <w:t>4.6: مبلغ الزيادة (النقص) في الوفر (العجز) النقدي الفعلي السنوي</w:t>
      </w:r>
    </w:p>
    <w:p>
      <w:pPr>
        <w:jc w:val="right"/>
        <w:bidi/>
      </w:pPr>
      <w:r>
        <w:rPr>
          <w:rFonts w:ascii="Arial" w:hAnsi="Arial" w:cs="Arial"/>
          <w:sz w:val="24"/>
        </w:rPr>
        <w:t xml:space="preserve">عند مقارنة النقد المتبقي والمتوفر في نهاية الأعوام 2023 و2024 يُلاحظ وجود نقص في 2024، إذ بلغت قيمة </w:t>
      </w:r>
    </w:p>
    <w:p>
      <w:pPr>
        <w:jc w:val="right"/>
        <w:bidi/>
      </w:pPr>
      <w:r>
        <w:rPr>
          <w:rFonts w:ascii="Arial" w:hAnsi="Arial" w:cs="Arial"/>
          <w:sz w:val="24"/>
        </w:rPr>
        <w:t>فقد بلغ إجمالي النقد المتوفر في نهاية عام 2023 ما قيمته (392710) دينارًا أردنيًا، بينما بلغ النقد ال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