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5.4: المبالغ التي أنفقت على المختبرات العلمية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5.4: المبالغ التي أنفقت على المختبرات العلمية وغيرها.</w:t>
      </w:r>
    </w:p>
    <w:p>
      <w:pPr>
        <w:jc w:val="right"/>
        <w:bidi/>
      </w:pPr>
      <w:r>
        <w:rPr>
          <w:rFonts w:ascii="Arial" w:hAnsi="Arial" w:cs="Arial"/>
          <w:sz w:val="24"/>
        </w:rPr>
        <w:t>بلغ حجم الانفاق على المختبرات العلمية وغيرها لأعضاء الهيئة التدريسية، والطلبة للعام 2024 ما يساوي 56</w:t>
      </w:r>
    </w:p>
    <w:p>
      <w:pPr>
        <w:jc w:val="right"/>
        <w:bidi/>
      </w:pPr>
      <w:r>
        <w:rPr>
          <w:rFonts w:ascii="Arial" w:hAnsi="Arial" w:cs="Arial"/>
          <w:sz w:val="24"/>
        </w:rPr>
        <w:t>كما تولي الجامعة الكوادر المؤهلة من فنيي المختبرات والمراسم ومشرفيها اهتمامًا كبيرًا؛ إذ بلغ عددهم (</w:t>
      </w:r>
    </w:p>
    <w:p>
      <w:pPr>
        <w:jc w:val="right"/>
        <w:bidi/>
      </w:pPr>
      <w:r>
        <w:rPr>
          <w:rFonts w:ascii="Arial" w:hAnsi="Arial" w:cs="Arial"/>
          <w:sz w:val="24"/>
        </w:rPr>
        <w:t>وتوضح الجداول الآتية المرافق كافة (المختبرات، والمراسم، والأستوديوهات...إلخ).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