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5.5: نسبة الإجراءات الأكاديمية والإدارية والمالية المحوسبة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5.5 :  نسبة الإجراءات الأكاديمية والإدارية والمالية المحوسبة.</w:t>
      </w:r>
    </w:p>
    <w:p>
      <w:pPr>
        <w:jc w:val="right"/>
        <w:bidi/>
      </w:pPr>
      <w:r>
        <w:rPr>
          <w:rFonts w:ascii="Arial" w:hAnsi="Arial" w:cs="Arial"/>
          <w:sz w:val="24"/>
        </w:rPr>
        <w:t>استجابة للتوجهات الإستراتيجية للجامعة، وتنفيذًا للتوجهات بتبنّي التحول الإلكتروني إلى جامعة خضراء، و</w:t>
      </w:r>
    </w:p>
    <w:p>
      <w:pPr>
        <w:jc w:val="right"/>
        <w:bidi/>
      </w:pPr>
      <w:r>
        <w:rPr>
          <w:rFonts w:ascii="Arial" w:hAnsi="Arial" w:cs="Arial"/>
          <w:sz w:val="24"/>
        </w:rPr>
        <w:t>ومن الإجراءات المحوسبة على سبيل المثال، برمجية بطاقة الأداء المتوازن لقياس الأداء الاستراتيجي في الج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