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6.1: عدد المشاريع التي تم تنفيذها لتنمية المجتمع المحلي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6.1: عدد المشاريع التي تم تنفيذها لتنمية المجتمع المحلي والمبادرات التشاركية.</w:t>
      </w:r>
    </w:p>
    <w:p>
      <w:pPr>
        <w:jc w:val="right"/>
        <w:bidi/>
      </w:pPr>
      <w:r>
        <w:rPr>
          <w:rFonts w:ascii="Arial" w:hAnsi="Arial" w:cs="Arial"/>
          <w:sz w:val="24"/>
        </w:rPr>
        <w:t>تولي الجامعة اهتمامًا بالغًا بالعمل الجماعي الموجّه بالسياسات الناظمة المتناغمة مع التوجهات الإسترات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