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6.4: عدد الطلبة المشاركين في النشاطات اللامنهجية والتطوعية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6.4: عدد الطلبة المشاركين في النشاطات اللامنهجية والتطوعية والتي تخدم المجتمع المحلي.</w:t>
      </w:r>
    </w:p>
    <w:p>
      <w:pPr>
        <w:jc w:val="right"/>
        <w:bidi/>
      </w:pPr>
      <w:r>
        <w:rPr>
          <w:rFonts w:ascii="Arial" w:hAnsi="Arial" w:cs="Arial"/>
          <w:sz w:val="24"/>
        </w:rPr>
        <w:t>تبنت الجامعة سياسة واضحة لخدمة المجتمع المحلي منذ تأسيسها، لتحقيق التكامل بين نشاطاتها الإدارية، وال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هذا، وقد شارك في هذه النشاطات اللامنهجية والتطوعية والتي تخدم المجتمع المحلي في العام 2024 ما يقارب 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