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 w:cs="Arial"/>
          <w:sz w:val="36"/>
        </w:rPr>
        <w:t>6.5: عدد الفعاليات التي شارك فيها الرئيس حول قضايا التعليم العالي</w:t>
      </w:r>
    </w:p>
    <w:p/>
    <w:p>
      <w:pPr>
        <w:jc w:val="right"/>
        <w:bidi/>
      </w:pPr>
      <w:r>
        <w:rPr>
          <w:rFonts w:ascii="Arial" w:hAnsi="Arial" w:cs="Arial"/>
          <w:sz w:val="24"/>
        </w:rPr>
        <w:t>6.5:</w:t>
        <w:tab/>
        <w:t>عدد الفعاليات التي شارك فيها الرئيس، حول مختلف قضايا التعليم العالي وخدمة المجتمع.</w:t>
      </w:r>
    </w:p>
    <w:p>
      <w:pPr>
        <w:jc w:val="right"/>
        <w:bidi/>
      </w:pPr>
      <w:r>
        <w:rPr>
          <w:rFonts w:ascii="Arial" w:hAnsi="Arial" w:cs="Arial"/>
          <w:sz w:val="24"/>
        </w:rPr>
        <w:t>يقوم رئيس الجامعة بعقد لقاءات وزيارات دورية إلى مختلف الكليات والدوائر في بداية كل عام دراسي؛ بهدف ا</w:t>
      </w:r>
    </w:p>
    <w:p>
      <w:pPr>
        <w:jc w:val="right"/>
        <w:bidi/>
      </w:pPr>
      <w:r>
        <w:rPr>
          <w:rFonts w:ascii="Arial" w:hAnsi="Arial" w:cs="Arial"/>
          <w:sz w:val="24"/>
        </w:rPr>
        <w:t>ويعتمد رئيس الجامعة على سياسة الباب المفتوح للعمداء، ومديري الدوائر، في حلِّ أيِّ قضية طارئة. ويُعقد</w:t>
      </w:r>
    </w:p>
    <w:p>
      <w:pPr>
        <w:jc w:val="right"/>
        <w:bidi/>
      </w:pPr>
      <w:r>
        <w:rPr>
          <w:rFonts w:ascii="Arial" w:hAnsi="Arial" w:cs="Arial"/>
          <w:sz w:val="24"/>
        </w:rPr>
        <w:t>هذا، وقد شارك الأستاذ الدكتور رامي عبدالرحيم- رئيس الجامعة- في حوالي 100 نشاطًا ذا علاقة بمختلف قضاي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