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التقرير السنوي لجامعة البترا (نسخة مصغرة)</w:t>
      </w:r>
    </w:p>
    <w:p>
      <w:pPr>
        <w:jc w:val="center"/>
      </w:pPr>
      <w:r>
        <w:t>العام الجامعي 2023/2024</w:t>
      </w:r>
    </w:p>
    <w:p/>
    <w:p>
      <w:pPr>
        <w:pStyle w:val="Heading1"/>
      </w:pPr>
      <w:r>
        <w:t>1.8: عدد الطلبة غير الأردنيين</w:t>
      </w:r>
    </w:p>
    <w:p>
      <w:pPr>
        <w:bidi w:val="1"/>
      </w:pPr>
      <w:r>
        <w:t>بلغ عدد الطلبة غير الأردنيين (840) طالبًا وطالبة في العام الجامعي 2023/2024، مقارنةً بـ (1126) طالبًا في العام السابق، بانخفاض نسبته (25%). ويُعزى هذا الانخفاض إلى التحديات الاقتصادية الإقليمية والمنافسة المتزايدة من الجامعات في دول الجوار.</w:t>
      </w:r>
    </w:p>
    <w:p>
      <w:pPr>
        <w:bidi w:val="1"/>
      </w:pPr>
      <w:r>
        <w:t>ويوضح الجدول (1-3) أعداد الطلبة تبعًا لجنسياتهم، التي بلغت في مجموعها (33) جنسية، في الفصلين الدراسيين: الأول، والثاني. وشكّل الطلبة الفلسطينيون النسبة الأكبر من الطلبة غير الأردنيين، يليهم الطلبة السوريون والعراقيون.</w:t>
      </w:r>
    </w:p>
    <w:p>
      <w:pPr>
        <w:bidi w:val="1"/>
      </w:pPr>
      <w:r>
        <w:t>وكانت نسبة الطلبة الأردنيين إلى غير الأردنيين في الفصلين: الأول والثاني ما يقارب (87.6% : 12.4%)، كما هو موضح في الشكل رقم (1-2).</w:t>
      </w:r>
    </w:p>
    <w:p>
      <w:pPr>
        <w:bidi w:val="1"/>
      </w:pPr>
      <w:r>
        <w:t>وتعمل الجامعة على توفير بيئة جامعية جاذبة، ومناخ جامعي متوازن يمتاز بالأمن والرفاه الجامعي، ما يُسهم إيجابيًا في بناء مجتمع جامعي متعاون ومنسجم.</w:t>
      </w:r>
    </w:p>
    <w:p/>
    <w:p>
      <w:pPr>
        <w:pStyle w:val="Heading2"/>
      </w:pPr>
      <w:r>
        <w:t>مؤشرات الأداء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نسبة التغير</w:t>
            </w:r>
          </w:p>
        </w:tc>
        <w:tc>
          <w:tcPr>
            <w:tcW w:type="dxa" w:w="2160"/>
          </w:tcPr>
          <w:p>
            <w:r>
              <w:t>السنة السابقة</w:t>
            </w:r>
          </w:p>
        </w:tc>
        <w:tc>
          <w:tcPr>
            <w:tcW w:type="dxa" w:w="2160"/>
          </w:tcPr>
          <w:p>
            <w:r>
              <w:t>السنة الحالية</w:t>
            </w:r>
          </w:p>
        </w:tc>
        <w:tc>
          <w:tcPr>
            <w:tcW w:type="dxa" w:w="2160"/>
          </w:tcPr>
          <w:p>
            <w:r>
              <w:t>المؤشر</w:t>
            </w:r>
          </w:p>
        </w:tc>
      </w:tr>
      <w:tr>
        <w:tc>
          <w:tcPr>
            <w:tcW w:type="dxa" w:w="2160"/>
          </w:tcPr>
          <w:p>
            <w:r>
              <w:t>-25%</w:t>
            </w:r>
          </w:p>
        </w:tc>
        <w:tc>
          <w:tcPr>
            <w:tcW w:type="dxa" w:w="2160"/>
          </w:tcPr>
          <w:p>
            <w:r>
              <w:t>1126</w:t>
            </w:r>
          </w:p>
        </w:tc>
        <w:tc>
          <w:tcPr>
            <w:tcW w:type="dxa" w:w="2160"/>
          </w:tcPr>
          <w:p>
            <w:r>
              <w:t>840</w:t>
            </w:r>
          </w:p>
        </w:tc>
        <w:tc>
          <w:tcPr>
            <w:tcW w:type="dxa" w:w="2160"/>
          </w:tcPr>
          <w:p>
            <w:r>
              <w:t>عدد الطلبة غير الأردنيين</w:t>
            </w:r>
          </w:p>
        </w:tc>
      </w:tr>
      <w:tr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عدد الجنسيات</w:t>
            </w:r>
          </w:p>
        </w:tc>
      </w:tr>
      <w:tr>
        <w:tc>
          <w:tcPr>
            <w:tcW w:type="dxa" w:w="2160"/>
          </w:tcPr>
          <w:p>
            <w:r>
              <w:t>-4.6%</w:t>
            </w:r>
          </w:p>
        </w:tc>
        <w:tc>
          <w:tcPr>
            <w:tcW w:type="dxa" w:w="2160"/>
          </w:tcPr>
          <w:p>
            <w:r>
              <w:t>17%</w:t>
            </w:r>
          </w:p>
        </w:tc>
        <w:tc>
          <w:tcPr>
            <w:tcW w:type="dxa" w:w="2160"/>
          </w:tcPr>
          <w:p>
            <w:r>
              <w:t>12.4%</w:t>
            </w:r>
          </w:p>
        </w:tc>
        <w:tc>
          <w:tcPr>
            <w:tcW w:type="dxa" w:w="2160"/>
          </w:tcPr>
          <w:p>
            <w:r>
              <w:t>نسبة غير الأردنيين</w:t>
            </w:r>
          </w:p>
        </w:tc>
      </w:tr>
    </w:tbl>
    <w:p/>
    <w:p>
      <w:pPr>
        <w:pStyle w:val="Heading2"/>
      </w:pPr>
      <w:r>
        <w:t>جدول (1-3): أعداد الطلبة حسب الجنسية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الفصل الثاني</w:t>
            </w:r>
          </w:p>
        </w:tc>
        <w:tc>
          <w:tcPr>
            <w:tcW w:type="dxa" w:w="2880"/>
          </w:tcPr>
          <w:p>
            <w:r>
              <w:t>الفصل الأول</w:t>
            </w:r>
          </w:p>
        </w:tc>
        <w:tc>
          <w:tcPr>
            <w:tcW w:type="dxa" w:w="2880"/>
          </w:tcPr>
          <w:p>
            <w:r>
              <w:t>الجنسية</w:t>
            </w:r>
          </w:p>
        </w:tc>
      </w:tr>
      <w:tr>
        <w:tc>
          <w:tcPr>
            <w:tcW w:type="dxa" w:w="2880"/>
          </w:tcPr>
          <w:p>
            <w:r>
              <w:t>5954</w:t>
            </w:r>
          </w:p>
        </w:tc>
        <w:tc>
          <w:tcPr>
            <w:tcW w:type="dxa" w:w="2880"/>
          </w:tcPr>
          <w:p>
            <w:r>
              <w:t>6014</w:t>
            </w:r>
          </w:p>
        </w:tc>
        <w:tc>
          <w:tcPr>
            <w:tcW w:type="dxa" w:w="2880"/>
          </w:tcPr>
          <w:p>
            <w:r>
              <w:t>الأردنية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الفلسطينية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السورية</w:t>
            </w:r>
          </w:p>
        </w:tc>
      </w:tr>
      <w:tr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العراقية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العمانية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المصرية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اليمنية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الأمريكية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اللبنانية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الليبية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السعودية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الكندية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البريطانية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الإسبانية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التركية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جنسيات أخرى (18)</w:t>
            </w:r>
          </w:p>
        </w:tc>
      </w:tr>
      <w:tr>
        <w:tc>
          <w:tcPr>
            <w:tcW w:type="dxa" w:w="2880"/>
          </w:tcPr>
          <w:p>
            <w:r>
              <w:t>6794</w:t>
            </w:r>
          </w:p>
        </w:tc>
        <w:tc>
          <w:tcPr>
            <w:tcW w:type="dxa" w:w="2880"/>
          </w:tcPr>
          <w:p>
            <w:r>
              <w:t>6921</w:t>
            </w:r>
          </w:p>
        </w:tc>
        <w:tc>
          <w:tcPr>
            <w:tcW w:type="dxa" w:w="2880"/>
          </w:tcPr>
          <w:p>
            <w:r>
              <w:t>المجموع</w:t>
            </w:r>
          </w:p>
        </w:tc>
      </w:tr>
    </w:tbl>
    <w:p/>
    <w:p>
      <w:pPr>
        <w:jc w:val="center"/>
        <w:bidi w:val="1"/>
      </w:pPr>
      <w:r>
        <w:t>شكل (1-2): النسبة المئوية للطلبة الأردنيين إلى غير الأردنيين</w:t>
      </w:r>
    </w:p>
    <w:p>
      <w:pPr>
        <w:jc w:val="center"/>
      </w:pPr>
      <w:r>
        <w:t>┌─────────────────────────────────┐</w:t>
        <w:br/>
        <w:t xml:space="preserve">│                                 │
</w:t>
        <w:t xml:space="preserve">│     🔵 الأردنيون: 87.6%        │
</w:t>
        <w:t xml:space="preserve">│     🟡 غير الأردنيين: 12.4%    │
</w:t>
        <w:t xml:space="preserve">│                                 │
</w:t>
        <w:t>└─────────────────────────────────┘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