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BE29B9" w14:paraId="6D7B63E4" w14:textId="3C29C07C" w:rsidTr="0080123B">
        <w:tc>
          <w:tcPr>
            <w:tcW w:w="7704" w:type="dxa"/>
            <w:shd w:val="clear" w:color="auto" w:fill="auto"/>
          </w:tcPr>
          <w:p w14:paraId="681F171E" w14:textId="7888CC79" w:rsidR="00BA72BD" w:rsidRPr="00BE29B9" w:rsidRDefault="00291742" w:rsidP="00BA72BD">
            <w:pPr>
              <w:spacing w:line="360" w:lineRule="auto"/>
              <w:ind w:left="-90" w:right="-107"/>
              <w:jc w:val="center"/>
              <w:rPr>
                <w:rFonts w:ascii="Imprint MT Shadow" w:hAnsi="Imprint MT Shadow" w:cs="Arial"/>
                <w:bCs/>
                <w:sz w:val="6"/>
                <w:szCs w:val="6"/>
                <w:lang w:eastAsia="id-ID"/>
              </w:rPr>
            </w:pPr>
            <w:bookmarkStart w:id="0" w:name="_Hlk119611131"/>
            <w:r w:rsidRPr="00BE29B9">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36A0D9E3"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214C07" w:rsidRPr="00214C07">
                                    <w:rPr>
                                      <w:rFonts w:ascii="Imprint MT Shadow" w:hAnsi="Imprint MT Shadow" w:cs="Arial"/>
                                      <w:bCs/>
                                      <w:color w:val="385623" w:themeColor="accent6" w:themeShade="80"/>
                                      <w:lang w:eastAsia="id-ID"/>
                                    </w:rPr>
                                    <w:t>Teaching and Student Development</w:t>
                                  </w:r>
                                  <w:r w:rsidR="00866F9A" w:rsidRPr="00673C4E">
                                    <w:rPr>
                                      <w:rFonts w:ascii="Imprint MT Shadow" w:hAnsi="Imprint MT Shadow" w:cs="Arial"/>
                                      <w:bCs/>
                                      <w:color w:val="385623" w:themeColor="accent6" w:themeShade="80"/>
                                      <w:lang w:eastAsia="id-ID"/>
                                    </w:rPr>
                                    <w:t xml:space="preserve">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36A0D9E3"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214C07" w:rsidRPr="00214C07">
                              <w:rPr>
                                <w:rFonts w:ascii="Imprint MT Shadow" w:hAnsi="Imprint MT Shadow" w:cs="Arial"/>
                                <w:bCs/>
                                <w:color w:val="385623" w:themeColor="accent6" w:themeShade="80"/>
                                <w:lang w:eastAsia="id-ID"/>
                              </w:rPr>
                              <w:t>Teaching and Student Development</w:t>
                            </w:r>
                            <w:r w:rsidR="00866F9A" w:rsidRPr="00673C4E">
                              <w:rPr>
                                <w:rFonts w:ascii="Imprint MT Shadow" w:hAnsi="Imprint MT Shadow" w:cs="Arial"/>
                                <w:bCs/>
                                <w:color w:val="385623" w:themeColor="accent6" w:themeShade="80"/>
                                <w:lang w:eastAsia="id-ID"/>
                              </w:rPr>
                              <w:t xml:space="preserve"> | Research Article</w:t>
                            </w:r>
                          </w:p>
                        </w:txbxContent>
                      </v:textbox>
                    </v:rect>
                  </w:pict>
                </mc:Fallback>
              </mc:AlternateContent>
            </w:r>
            <w:proofErr w:type="spellStart"/>
            <w:r w:rsidR="00BA72BD" w:rsidRPr="00BE29B9">
              <w:rPr>
                <w:rFonts w:ascii="Imprint MT Shadow" w:hAnsi="Imprint MT Shadow" w:cs="Arial"/>
                <w:bCs/>
                <w:color w:val="FFFFFF" w:themeColor="background1"/>
                <w:sz w:val="6"/>
                <w:szCs w:val="6"/>
                <w:lang w:eastAsia="id-ID"/>
              </w:rPr>
              <w:t>Gh</w:t>
            </w:r>
            <w:proofErr w:type="spellEnd"/>
          </w:p>
          <w:p w14:paraId="0339B32F" w14:textId="6A2C11A6" w:rsidR="00BA72BD" w:rsidRPr="00BE29B9"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proofErr w:type="spellStart"/>
            <w:r w:rsidRPr="00BE29B9">
              <w:rPr>
                <w:rFonts w:ascii="Imprint MT Shadow" w:hAnsi="Imprint MT Shadow" w:cs="Arial"/>
                <w:bCs/>
                <w:color w:val="FFFFFF" w:themeColor="background1"/>
                <w:sz w:val="32"/>
                <w:szCs w:val="32"/>
                <w:lang w:eastAsia="id-ID"/>
              </w:rPr>
              <w:t>D</w:t>
            </w:r>
            <w:r w:rsidR="00BA72BD" w:rsidRPr="00BE29B9">
              <w:rPr>
                <w:rFonts w:ascii="Imprint MT Shadow" w:hAnsi="Imprint MT Shadow" w:cs="Arial"/>
                <w:bCs/>
                <w:color w:val="FFFFFF" w:themeColor="background1"/>
                <w:sz w:val="32"/>
                <w:szCs w:val="32"/>
                <w:lang w:eastAsia="id-ID"/>
              </w:rPr>
              <w:t>afa</w:t>
            </w:r>
            <w:proofErr w:type="spellEnd"/>
          </w:p>
          <w:p w14:paraId="0A39FBBE" w14:textId="7156AAC9" w:rsidR="00291742" w:rsidRPr="00BE29B9"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Pr="00BE29B9" w:rsidRDefault="00BA72BD">
            <w:pPr>
              <w:suppressAutoHyphens w:val="0"/>
              <w:rPr>
                <w:rFonts w:ascii="Imprint MT Shadow" w:hAnsi="Imprint MT Shadow" w:cs="Arial"/>
                <w:bCs/>
                <w:sz w:val="22"/>
                <w:szCs w:val="22"/>
                <w:lang w:eastAsia="id-ID"/>
              </w:rPr>
            </w:pPr>
          </w:p>
          <w:p w14:paraId="28CA254C" w14:textId="77777777" w:rsidR="00BA72BD" w:rsidRPr="00BE29B9"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BE29B9" w:rsidRDefault="0080123B" w:rsidP="00FF5187">
      <w:pPr>
        <w:spacing w:before="60"/>
        <w:ind w:right="1370"/>
        <w:jc w:val="right"/>
        <w:rPr>
          <w:rFonts w:ascii="Lucida Bright" w:hAnsi="Lucida Bright" w:cs="Arial"/>
          <w:bCs/>
          <w:color w:val="385623" w:themeColor="accent6" w:themeShade="80"/>
          <w:sz w:val="16"/>
          <w:szCs w:val="16"/>
          <w:lang w:eastAsia="id-ID"/>
        </w:rPr>
      </w:pPr>
      <w:r w:rsidRPr="00BE29B9">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BE29B9">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BE29B9" w:rsidRDefault="004E1242" w:rsidP="00F47BE9">
      <w:pPr>
        <w:jc w:val="center"/>
        <w:rPr>
          <w:b/>
          <w:bCs/>
          <w:sz w:val="28"/>
          <w:szCs w:val="28"/>
        </w:rPr>
      </w:pPr>
    </w:p>
    <w:p w14:paraId="40CDD37D" w14:textId="275FD1A1" w:rsidR="00F47BE9" w:rsidRPr="00DA0605" w:rsidRDefault="00194DF6" w:rsidP="00E851FA">
      <w:pPr>
        <w:jc w:val="center"/>
        <w:rPr>
          <w:b/>
          <w:bCs/>
          <w:i/>
          <w:iCs/>
          <w:sz w:val="26"/>
          <w:szCs w:val="26"/>
          <w:lang w:val="id-ID"/>
        </w:rPr>
      </w:pPr>
      <w:r w:rsidRPr="00194DF6">
        <w:rPr>
          <w:b/>
          <w:bCs/>
          <w:sz w:val="28"/>
          <w:szCs w:val="28"/>
        </w:rPr>
        <w:t>Application of Audio-Visual Learning Media in Increasing Islamic Boarding School Students’ Tajweed Learning Outcomes</w:t>
      </w:r>
    </w:p>
    <w:p w14:paraId="41E0D820" w14:textId="77777777" w:rsidR="00981B3C" w:rsidRPr="00BE29B9" w:rsidRDefault="00981B3C" w:rsidP="00E21BB5">
      <w:pPr>
        <w:jc w:val="center"/>
        <w:rPr>
          <w:b/>
          <w:bCs/>
        </w:rPr>
      </w:pPr>
    </w:p>
    <w:p w14:paraId="3F8EB063" w14:textId="7D8F598D" w:rsidR="004F541C" w:rsidRPr="004F541C" w:rsidRDefault="004F541C" w:rsidP="00DC367B">
      <w:pPr>
        <w:jc w:val="center"/>
        <w:rPr>
          <w:b/>
          <w:iCs/>
          <w:color w:val="000000"/>
          <w:sz w:val="22"/>
          <w:szCs w:val="22"/>
        </w:rPr>
      </w:pPr>
      <w:bookmarkStart w:id="1" w:name="_Hlk522277881"/>
      <w:r w:rsidRPr="004F541C">
        <w:rPr>
          <w:b/>
          <w:iCs/>
          <w:color w:val="000000"/>
          <w:sz w:val="22"/>
          <w:szCs w:val="22"/>
        </w:rPr>
        <w:t>Abdul Hamid</w:t>
      </w:r>
      <w:proofErr w:type="gramStart"/>
      <w:r w:rsidRPr="004F541C">
        <w:rPr>
          <w:b/>
          <w:iCs/>
          <w:color w:val="000000"/>
          <w:sz w:val="22"/>
          <w:szCs w:val="22"/>
          <w:vertAlign w:val="superscript"/>
        </w:rPr>
        <w:t>1</w:t>
      </w:r>
      <w:bookmarkEnd w:id="1"/>
      <w:r w:rsidRPr="004F541C">
        <w:rPr>
          <w:b/>
          <w:iCs/>
          <w:color w:val="000000"/>
          <w:sz w:val="22"/>
          <w:szCs w:val="22"/>
          <w:vertAlign w:val="superscript"/>
        </w:rPr>
        <w:t>,</w:t>
      </w:r>
      <w:r w:rsidRPr="004F541C">
        <w:rPr>
          <w:b/>
          <w:iCs/>
          <w:color w:val="000000"/>
          <w:sz w:val="22"/>
          <w:szCs w:val="22"/>
        </w:rPr>
        <w:t>*</w:t>
      </w:r>
      <w:proofErr w:type="gramEnd"/>
      <w:r w:rsidRPr="004F541C">
        <w:rPr>
          <w:b/>
          <w:iCs/>
          <w:color w:val="000000"/>
          <w:sz w:val="22"/>
          <w:szCs w:val="22"/>
        </w:rPr>
        <w:t xml:space="preserve">, Muhammad </w:t>
      </w:r>
      <w:r w:rsidR="00DC367B" w:rsidRPr="00DC367B">
        <w:rPr>
          <w:b/>
          <w:iCs/>
          <w:color w:val="000000"/>
          <w:sz w:val="22"/>
          <w:szCs w:val="22"/>
        </w:rPr>
        <w:t>Khairuddin</w:t>
      </w:r>
      <w:r w:rsidRPr="004F541C">
        <w:rPr>
          <w:b/>
          <w:iCs/>
          <w:color w:val="000000"/>
          <w:sz w:val="22"/>
          <w:szCs w:val="22"/>
        </w:rPr>
        <w:t xml:space="preserve"> Lim Abdullah</w:t>
      </w:r>
      <w:r w:rsidRPr="004F541C">
        <w:rPr>
          <w:b/>
          <w:iCs/>
          <w:color w:val="000000"/>
          <w:sz w:val="22"/>
          <w:szCs w:val="22"/>
          <w:vertAlign w:val="superscript"/>
        </w:rPr>
        <w:t>2</w:t>
      </w:r>
      <w:r w:rsidRPr="004F541C">
        <w:rPr>
          <w:b/>
          <w:iCs/>
          <w:color w:val="000000"/>
          <w:sz w:val="22"/>
          <w:szCs w:val="22"/>
        </w:rPr>
        <w:t xml:space="preserve">, </w:t>
      </w:r>
      <w:proofErr w:type="spellStart"/>
      <w:r w:rsidRPr="004F541C">
        <w:rPr>
          <w:b/>
          <w:iCs/>
          <w:color w:val="000000"/>
          <w:sz w:val="22"/>
          <w:szCs w:val="22"/>
        </w:rPr>
        <w:t>Sitti</w:t>
      </w:r>
      <w:proofErr w:type="spellEnd"/>
      <w:r w:rsidRPr="004F541C">
        <w:rPr>
          <w:b/>
          <w:iCs/>
          <w:color w:val="000000"/>
          <w:sz w:val="22"/>
          <w:szCs w:val="22"/>
        </w:rPr>
        <w:t xml:space="preserve"> Jamilah Amin</w:t>
      </w:r>
      <w:r w:rsidRPr="004F541C">
        <w:rPr>
          <w:b/>
          <w:iCs/>
          <w:color w:val="000000"/>
          <w:sz w:val="22"/>
          <w:szCs w:val="22"/>
          <w:vertAlign w:val="superscript"/>
        </w:rPr>
        <w:t>3</w:t>
      </w:r>
      <w:r w:rsidRPr="004F541C">
        <w:rPr>
          <w:b/>
          <w:iCs/>
          <w:color w:val="000000"/>
          <w:sz w:val="22"/>
          <w:szCs w:val="22"/>
        </w:rPr>
        <w:t>, Abdul Halik</w:t>
      </w:r>
      <w:r w:rsidRPr="004F541C">
        <w:rPr>
          <w:b/>
          <w:iCs/>
          <w:color w:val="000000"/>
          <w:sz w:val="22"/>
          <w:szCs w:val="22"/>
          <w:vertAlign w:val="superscript"/>
        </w:rPr>
        <w:t>3</w:t>
      </w:r>
      <w:r w:rsidRPr="004F541C">
        <w:rPr>
          <w:b/>
          <w:iCs/>
          <w:color w:val="000000"/>
          <w:sz w:val="22"/>
          <w:szCs w:val="22"/>
        </w:rPr>
        <w:t xml:space="preserve">, </w:t>
      </w:r>
      <w:proofErr w:type="spellStart"/>
      <w:r w:rsidRPr="004F541C">
        <w:rPr>
          <w:b/>
          <w:iCs/>
          <w:color w:val="000000"/>
          <w:sz w:val="22"/>
          <w:szCs w:val="22"/>
        </w:rPr>
        <w:t>Ahdar</w:t>
      </w:r>
      <w:proofErr w:type="spellEnd"/>
      <w:r w:rsidRPr="004F541C">
        <w:rPr>
          <w:b/>
          <w:iCs/>
          <w:color w:val="000000"/>
          <w:sz w:val="22"/>
          <w:szCs w:val="22"/>
        </w:rPr>
        <w:t xml:space="preserve"> Ahdar</w:t>
      </w:r>
      <w:r w:rsidRPr="004F541C">
        <w:rPr>
          <w:b/>
          <w:iCs/>
          <w:color w:val="000000"/>
          <w:sz w:val="22"/>
          <w:szCs w:val="22"/>
          <w:vertAlign w:val="superscript"/>
        </w:rPr>
        <w:t>3</w:t>
      </w:r>
    </w:p>
    <w:p w14:paraId="6011A9B1" w14:textId="77777777" w:rsidR="004F541C" w:rsidRPr="004F541C" w:rsidRDefault="004F541C" w:rsidP="004F541C">
      <w:pPr>
        <w:jc w:val="center"/>
        <w:rPr>
          <w:sz w:val="20"/>
          <w:szCs w:val="20"/>
          <w:lang w:val="en-ID"/>
        </w:rPr>
      </w:pPr>
      <w:r w:rsidRPr="004F541C">
        <w:rPr>
          <w:sz w:val="20"/>
          <w:szCs w:val="20"/>
          <w:vertAlign w:val="superscript"/>
          <w:lang w:val="id-ID"/>
        </w:rPr>
        <w:t>1</w:t>
      </w:r>
      <w:r w:rsidRPr="004F541C">
        <w:rPr>
          <w:sz w:val="20"/>
          <w:szCs w:val="20"/>
          <w:lang w:val="en-ID"/>
        </w:rPr>
        <w:t xml:space="preserve">Student of </w:t>
      </w:r>
      <w:proofErr w:type="spellStart"/>
      <w:r w:rsidRPr="004F541C">
        <w:rPr>
          <w:sz w:val="20"/>
          <w:szCs w:val="20"/>
          <w:lang w:val="en-ID"/>
        </w:rPr>
        <w:t>Pascasarjana</w:t>
      </w:r>
      <w:proofErr w:type="spellEnd"/>
      <w:r w:rsidRPr="004F541C">
        <w:rPr>
          <w:sz w:val="20"/>
          <w:szCs w:val="20"/>
          <w:lang w:val="en-ID"/>
        </w:rPr>
        <w:t xml:space="preserve">, </w:t>
      </w:r>
      <w:r w:rsidRPr="004F541C">
        <w:rPr>
          <w:sz w:val="20"/>
          <w:szCs w:val="20"/>
          <w:lang w:val="id-ID"/>
        </w:rPr>
        <w:t>State Islamic Institute of</w:t>
      </w:r>
      <w:r w:rsidRPr="004F541C">
        <w:rPr>
          <w:sz w:val="20"/>
          <w:szCs w:val="20"/>
          <w:lang w:val="en-ID"/>
        </w:rPr>
        <w:t xml:space="preserve"> </w:t>
      </w:r>
      <w:proofErr w:type="spellStart"/>
      <w:r w:rsidRPr="004F541C">
        <w:rPr>
          <w:sz w:val="20"/>
          <w:szCs w:val="20"/>
          <w:lang w:val="en-ID"/>
        </w:rPr>
        <w:t>Parepare</w:t>
      </w:r>
      <w:proofErr w:type="spellEnd"/>
      <w:r w:rsidRPr="004F541C">
        <w:rPr>
          <w:sz w:val="20"/>
          <w:szCs w:val="20"/>
          <w:lang w:val="id-ID"/>
        </w:rPr>
        <w:t>,</w:t>
      </w:r>
      <w:r w:rsidRPr="004F541C">
        <w:rPr>
          <w:sz w:val="20"/>
          <w:szCs w:val="20"/>
          <w:lang w:val="en-ID"/>
        </w:rPr>
        <w:t xml:space="preserve"> Indonesia</w:t>
      </w:r>
    </w:p>
    <w:p w14:paraId="20A7E270" w14:textId="77777777" w:rsidR="004F541C" w:rsidRPr="004F541C" w:rsidRDefault="004F541C" w:rsidP="004F541C">
      <w:pPr>
        <w:jc w:val="center"/>
        <w:rPr>
          <w:sz w:val="20"/>
          <w:szCs w:val="20"/>
          <w:lang w:val="id-ID"/>
        </w:rPr>
      </w:pPr>
      <w:r w:rsidRPr="004F541C">
        <w:rPr>
          <w:sz w:val="20"/>
          <w:szCs w:val="20"/>
          <w:vertAlign w:val="superscript"/>
          <w:lang w:val="id-ID"/>
        </w:rPr>
        <w:t>2</w:t>
      </w:r>
      <w:r w:rsidRPr="004F541C">
        <w:rPr>
          <w:sz w:val="20"/>
          <w:szCs w:val="20"/>
          <w:lang w:val="id-ID"/>
        </w:rPr>
        <w:t>Faculty of Management and Economics, Sultan Idris Education University, Malaysia</w:t>
      </w:r>
    </w:p>
    <w:p w14:paraId="659000C7" w14:textId="6D808946" w:rsidR="00794449" w:rsidRPr="00863EA4" w:rsidRDefault="004F541C" w:rsidP="004F541C">
      <w:pPr>
        <w:jc w:val="center"/>
        <w:rPr>
          <w:bCs/>
          <w:color w:val="000000"/>
          <w:sz w:val="20"/>
          <w:szCs w:val="20"/>
        </w:rPr>
      </w:pPr>
      <w:r w:rsidRPr="004F541C">
        <w:rPr>
          <w:sz w:val="20"/>
          <w:szCs w:val="20"/>
          <w:vertAlign w:val="superscript"/>
          <w:lang w:val="id-ID"/>
        </w:rPr>
        <w:t>3</w:t>
      </w:r>
      <w:r w:rsidRPr="004F541C">
        <w:rPr>
          <w:sz w:val="20"/>
          <w:szCs w:val="20"/>
          <w:lang w:val="en-ID"/>
        </w:rPr>
        <w:t>Faculty of Islamic Education</w:t>
      </w:r>
      <w:r w:rsidRPr="004F541C">
        <w:rPr>
          <w:sz w:val="20"/>
          <w:szCs w:val="20"/>
          <w:lang w:val="id-ID"/>
        </w:rPr>
        <w:t>, State Islamic Institute of</w:t>
      </w:r>
      <w:r w:rsidRPr="004F541C">
        <w:rPr>
          <w:sz w:val="20"/>
          <w:szCs w:val="20"/>
          <w:lang w:val="en-ID"/>
        </w:rPr>
        <w:t xml:space="preserve"> </w:t>
      </w:r>
      <w:proofErr w:type="spellStart"/>
      <w:r w:rsidRPr="004F541C">
        <w:rPr>
          <w:sz w:val="20"/>
          <w:szCs w:val="20"/>
          <w:lang w:val="en-ID"/>
        </w:rPr>
        <w:t>Parepare</w:t>
      </w:r>
      <w:proofErr w:type="spellEnd"/>
      <w:r w:rsidR="00863EA4" w:rsidRPr="00863EA4">
        <w:rPr>
          <w:bCs/>
          <w:color w:val="000000"/>
          <w:sz w:val="20"/>
          <w:szCs w:val="20"/>
        </w:rPr>
        <w:t>, Indonesia</w:t>
      </w:r>
    </w:p>
    <w:p w14:paraId="2EC2AD51" w14:textId="77777777" w:rsidR="00974AE2" w:rsidRPr="00BE29B9"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BE29B9" w14:paraId="2D260142" w14:textId="77777777" w:rsidTr="00A92BED">
        <w:trPr>
          <w:trHeight w:val="250"/>
        </w:trPr>
        <w:tc>
          <w:tcPr>
            <w:tcW w:w="3167" w:type="dxa"/>
            <w:tcBorders>
              <w:right w:val="single" w:sz="4" w:space="0" w:color="auto"/>
            </w:tcBorders>
            <w:shd w:val="clear" w:color="auto" w:fill="E2EFD9" w:themeFill="accent6" w:themeFillTint="33"/>
          </w:tcPr>
          <w:p w14:paraId="37B9FCC7" w14:textId="340E1765" w:rsidR="00A93EE3" w:rsidRPr="00BE29B9" w:rsidRDefault="00A93EE3" w:rsidP="00B61EC2">
            <w:pPr>
              <w:spacing w:before="60"/>
              <w:rPr>
                <w:b/>
                <w:sz w:val="20"/>
                <w:szCs w:val="20"/>
              </w:rPr>
            </w:pPr>
            <w:r w:rsidRPr="00BE29B9">
              <w:rPr>
                <w:b/>
                <w:sz w:val="20"/>
                <w:szCs w:val="20"/>
              </w:rPr>
              <w:t xml:space="preserve">Article History: </w:t>
            </w:r>
          </w:p>
        </w:tc>
        <w:tc>
          <w:tcPr>
            <w:tcW w:w="5810" w:type="dxa"/>
            <w:tcBorders>
              <w:left w:val="single" w:sz="4" w:space="0" w:color="auto"/>
            </w:tcBorders>
            <w:shd w:val="clear" w:color="auto" w:fill="E2EFD9" w:themeFill="accent6" w:themeFillTint="33"/>
          </w:tcPr>
          <w:p w14:paraId="60C62929" w14:textId="51C6559A" w:rsidR="00A93EE3" w:rsidRPr="00BE29B9" w:rsidRDefault="00A93EE3" w:rsidP="009F5693">
            <w:pPr>
              <w:spacing w:before="60"/>
              <w:jc w:val="both"/>
              <w:rPr>
                <w:b/>
                <w:bCs/>
                <w:iCs/>
                <w:sz w:val="20"/>
                <w:szCs w:val="20"/>
              </w:rPr>
            </w:pPr>
            <w:r w:rsidRPr="00BE29B9">
              <w:rPr>
                <w:b/>
                <w:bCs/>
                <w:iCs/>
                <w:sz w:val="20"/>
                <w:szCs w:val="20"/>
              </w:rPr>
              <w:t>Abstract:</w:t>
            </w:r>
          </w:p>
        </w:tc>
      </w:tr>
      <w:tr w:rsidR="00A93EE3" w:rsidRPr="00BE29B9" w14:paraId="59903910" w14:textId="77777777" w:rsidTr="00A92BED">
        <w:trPr>
          <w:trHeight w:val="970"/>
        </w:trPr>
        <w:tc>
          <w:tcPr>
            <w:tcW w:w="3167" w:type="dxa"/>
            <w:tcBorders>
              <w:right w:val="single" w:sz="4" w:space="0" w:color="auto"/>
            </w:tcBorders>
            <w:shd w:val="clear" w:color="auto" w:fill="auto"/>
          </w:tcPr>
          <w:p w14:paraId="7C8922EF" w14:textId="36580310" w:rsidR="00A93EE3" w:rsidRPr="00BE29B9" w:rsidRDefault="00A93EE3" w:rsidP="005F687F">
            <w:pPr>
              <w:rPr>
                <w:bCs/>
                <w:sz w:val="20"/>
                <w:szCs w:val="20"/>
              </w:rPr>
            </w:pPr>
            <w:r w:rsidRPr="00BE29B9">
              <w:rPr>
                <w:bCs/>
                <w:sz w:val="20"/>
                <w:szCs w:val="20"/>
              </w:rPr>
              <w:t xml:space="preserve">Received: </w:t>
            </w:r>
            <w:r w:rsidR="005F687F">
              <w:rPr>
                <w:bCs/>
                <w:sz w:val="20"/>
                <w:szCs w:val="20"/>
                <w:lang w:val="id-ID"/>
              </w:rPr>
              <w:t xml:space="preserve">June </w:t>
            </w:r>
            <w:r w:rsidR="005F687F" w:rsidRPr="005F687F">
              <w:rPr>
                <w:bCs/>
                <w:sz w:val="20"/>
                <w:szCs w:val="20"/>
              </w:rPr>
              <w:t>15</w:t>
            </w:r>
            <w:r w:rsidR="002A7E49">
              <w:rPr>
                <w:bCs/>
                <w:sz w:val="20"/>
                <w:szCs w:val="20"/>
                <w:lang w:val="id-ID"/>
              </w:rPr>
              <w:t xml:space="preserve">, </w:t>
            </w:r>
            <w:r w:rsidR="002A7E49" w:rsidRPr="00D91209">
              <w:rPr>
                <w:bCs/>
                <w:sz w:val="20"/>
                <w:szCs w:val="20"/>
              </w:rPr>
              <w:t>2023</w:t>
            </w:r>
          </w:p>
          <w:p w14:paraId="0F3B3C92" w14:textId="70C3B26B" w:rsidR="00A93EE3" w:rsidRPr="00BE29B9" w:rsidRDefault="00A93EE3" w:rsidP="00B61EC2">
            <w:pPr>
              <w:rPr>
                <w:bCs/>
                <w:sz w:val="20"/>
                <w:szCs w:val="20"/>
              </w:rPr>
            </w:pPr>
            <w:r w:rsidRPr="00BE29B9">
              <w:rPr>
                <w:bCs/>
                <w:sz w:val="20"/>
                <w:szCs w:val="20"/>
              </w:rPr>
              <w:t xml:space="preserve">Revised: </w:t>
            </w:r>
            <w:r w:rsidR="000E5155">
              <w:rPr>
                <w:bCs/>
                <w:sz w:val="20"/>
                <w:szCs w:val="20"/>
                <w:lang w:val="id-ID"/>
              </w:rPr>
              <w:t>June</w:t>
            </w:r>
            <w:r w:rsidR="002A7E49">
              <w:rPr>
                <w:bCs/>
                <w:sz w:val="20"/>
                <w:szCs w:val="20"/>
                <w:lang w:val="id-ID"/>
              </w:rPr>
              <w:t xml:space="preserve"> </w:t>
            </w:r>
            <w:r w:rsidR="000E5155">
              <w:rPr>
                <w:bCs/>
                <w:sz w:val="20"/>
                <w:szCs w:val="20"/>
              </w:rPr>
              <w:t>23</w:t>
            </w:r>
            <w:r w:rsidR="002A7E49">
              <w:rPr>
                <w:bCs/>
                <w:sz w:val="20"/>
                <w:szCs w:val="20"/>
                <w:lang w:val="id-ID"/>
              </w:rPr>
              <w:t xml:space="preserve">, </w:t>
            </w:r>
            <w:r w:rsidR="002A7E49" w:rsidRPr="00D91209">
              <w:rPr>
                <w:bCs/>
                <w:sz w:val="20"/>
                <w:szCs w:val="20"/>
              </w:rPr>
              <w:t>202</w:t>
            </w:r>
            <w:r w:rsidR="002E7553">
              <w:rPr>
                <w:bCs/>
                <w:sz w:val="20"/>
                <w:szCs w:val="20"/>
              </w:rPr>
              <w:t>4</w:t>
            </w:r>
            <w:r w:rsidRPr="00BE29B9">
              <w:rPr>
                <w:bCs/>
                <w:sz w:val="20"/>
                <w:szCs w:val="20"/>
              </w:rPr>
              <w:t xml:space="preserve"> </w:t>
            </w:r>
          </w:p>
          <w:p w14:paraId="6E8F65D5" w14:textId="2951BAEF" w:rsidR="00A93EE3" w:rsidRPr="00BE29B9" w:rsidRDefault="00A93EE3" w:rsidP="00B61EC2">
            <w:pPr>
              <w:rPr>
                <w:bCs/>
                <w:sz w:val="20"/>
                <w:szCs w:val="20"/>
              </w:rPr>
            </w:pPr>
            <w:r w:rsidRPr="00BE29B9">
              <w:rPr>
                <w:bCs/>
                <w:sz w:val="20"/>
                <w:szCs w:val="20"/>
              </w:rPr>
              <w:t xml:space="preserve">Accepted: </w:t>
            </w:r>
            <w:r w:rsidR="002E7553">
              <w:rPr>
                <w:bCs/>
                <w:sz w:val="20"/>
                <w:szCs w:val="20"/>
                <w:lang w:val="id-ID"/>
              </w:rPr>
              <w:t>June</w:t>
            </w:r>
            <w:r w:rsidR="002A7E49">
              <w:rPr>
                <w:bCs/>
                <w:sz w:val="20"/>
                <w:szCs w:val="20"/>
                <w:lang w:val="id-ID"/>
              </w:rPr>
              <w:t xml:space="preserve"> </w:t>
            </w:r>
            <w:r w:rsidR="00C514EA">
              <w:rPr>
                <w:bCs/>
                <w:sz w:val="20"/>
                <w:szCs w:val="20"/>
              </w:rPr>
              <w:t>30</w:t>
            </w:r>
            <w:r w:rsidR="002A7E49">
              <w:rPr>
                <w:bCs/>
                <w:sz w:val="20"/>
                <w:szCs w:val="20"/>
                <w:lang w:val="id-ID"/>
              </w:rPr>
              <w:t xml:space="preserve">, </w:t>
            </w:r>
            <w:r w:rsidR="002A7E49" w:rsidRPr="002A7E49">
              <w:rPr>
                <w:bCs/>
                <w:sz w:val="20"/>
                <w:szCs w:val="20"/>
              </w:rPr>
              <w:t>202</w:t>
            </w:r>
            <w:r w:rsidR="002E7553">
              <w:rPr>
                <w:bCs/>
                <w:sz w:val="20"/>
                <w:szCs w:val="20"/>
              </w:rPr>
              <w:t>4</w:t>
            </w:r>
            <w:r w:rsidR="002A7E49">
              <w:rPr>
                <w:bCs/>
                <w:sz w:val="20"/>
                <w:szCs w:val="20"/>
                <w:lang w:val="id-ID"/>
              </w:rPr>
              <w:t xml:space="preserve"> </w:t>
            </w:r>
          </w:p>
          <w:p w14:paraId="6C97858C" w14:textId="0EA8AD32" w:rsidR="00A93EE3" w:rsidRPr="00BE29B9" w:rsidRDefault="00A93EE3" w:rsidP="00E16BB7">
            <w:pPr>
              <w:rPr>
                <w:b/>
                <w:sz w:val="20"/>
                <w:szCs w:val="20"/>
              </w:rPr>
            </w:pPr>
          </w:p>
        </w:tc>
        <w:tc>
          <w:tcPr>
            <w:tcW w:w="5810" w:type="dxa"/>
            <w:vMerge w:val="restart"/>
            <w:tcBorders>
              <w:left w:val="single" w:sz="4" w:space="0" w:color="auto"/>
            </w:tcBorders>
            <w:shd w:val="clear" w:color="auto" w:fill="E2EFD9" w:themeFill="accent6" w:themeFillTint="33"/>
          </w:tcPr>
          <w:p w14:paraId="0BEB3656" w14:textId="29172B88" w:rsidR="00E52384" w:rsidRPr="00A25964" w:rsidRDefault="00E52384" w:rsidP="00A25964">
            <w:pPr>
              <w:spacing w:after="120"/>
              <w:ind w:right="23"/>
              <w:jc w:val="both"/>
              <w:rPr>
                <w:iCs/>
                <w:sz w:val="20"/>
                <w:szCs w:val="20"/>
              </w:rPr>
            </w:pPr>
            <w:r w:rsidRPr="00E52384">
              <w:rPr>
                <w:iCs/>
                <w:sz w:val="20"/>
                <w:szCs w:val="20"/>
                <w:lang w:val="fi-FI"/>
              </w:rPr>
              <w:t>Generally</w:t>
            </w:r>
            <w:r w:rsidRPr="00E52384">
              <w:rPr>
                <w:sz w:val="20"/>
                <w:szCs w:val="20"/>
                <w:lang w:val="id-ID"/>
              </w:rPr>
              <w:t>, learning Tajweed in Islamic boarding schools still uses the rote method so the Tajweed material seems difficult and boring. This research aims to (1) describe the application of audio-visual learning media in Tajweed learning, (2) describe the increase in students' Tajweed learning outcomes, and (3) test the effect of applying audio-visual learning media on improving students' Tajweed learning outcomes. This study used experimental research with a quasi-experimental design. The object of this research consists of two classes, namely the experimental class and the control class. The research object was chosen purposively from two classes at the Salafiyah Marhalah Ulya, Tahfidzul Qur'an As'adiyah Wonomulyo Islamic Boarding School. The experimental class was given treatment using audio-visual media, while the control class continued to use the textbook-based lecturing method. Data was collected using observation, tests, interviews, and documentation. The data analysis technique uses a gain test. The research results show that the application of audio-visual media has an effect on increasing students' Tajweed learning outcomes. This research has implications for the importance of innovative and creative efforts by Islamic education teachers in creating audiovisual media for learning the Quran to welcome 21</w:t>
            </w:r>
            <w:r w:rsidRPr="00E52384">
              <w:rPr>
                <w:sz w:val="20"/>
                <w:szCs w:val="20"/>
                <w:vertAlign w:val="superscript"/>
                <w:lang w:val="id-ID"/>
              </w:rPr>
              <w:t>st</w:t>
            </w:r>
            <w:r w:rsidRPr="00E52384">
              <w:rPr>
                <w:sz w:val="20"/>
                <w:szCs w:val="20"/>
                <w:lang w:val="id-ID"/>
              </w:rPr>
              <w:t>-century education.</w:t>
            </w:r>
          </w:p>
        </w:tc>
      </w:tr>
      <w:tr w:rsidR="00A93EE3" w:rsidRPr="00BE29B9" w14:paraId="0288DBE7" w14:textId="77777777" w:rsidTr="00A92BED">
        <w:trPr>
          <w:trHeight w:val="198"/>
        </w:trPr>
        <w:tc>
          <w:tcPr>
            <w:tcW w:w="3167" w:type="dxa"/>
            <w:tcBorders>
              <w:right w:val="single" w:sz="4" w:space="0" w:color="auto"/>
            </w:tcBorders>
            <w:shd w:val="clear" w:color="auto" w:fill="E2EFD9" w:themeFill="accent6" w:themeFillTint="33"/>
          </w:tcPr>
          <w:p w14:paraId="0BD91CBB" w14:textId="780913A1" w:rsidR="00A93EE3" w:rsidRPr="00BE29B9" w:rsidRDefault="00BD326D" w:rsidP="00B61EC2">
            <w:pPr>
              <w:spacing w:before="60"/>
              <w:rPr>
                <w:bCs/>
                <w:sz w:val="20"/>
                <w:szCs w:val="20"/>
              </w:rPr>
            </w:pPr>
            <w:r w:rsidRPr="00BE29B9">
              <w:rPr>
                <w:b/>
                <w:sz w:val="20"/>
                <w:szCs w:val="20"/>
              </w:rPr>
              <w:t>*Correspondence:</w:t>
            </w:r>
          </w:p>
        </w:tc>
        <w:tc>
          <w:tcPr>
            <w:tcW w:w="5810" w:type="dxa"/>
            <w:vMerge/>
            <w:tcBorders>
              <w:left w:val="single" w:sz="4" w:space="0" w:color="auto"/>
            </w:tcBorders>
            <w:shd w:val="clear" w:color="auto" w:fill="E2EFD9" w:themeFill="accent6" w:themeFillTint="33"/>
          </w:tcPr>
          <w:p w14:paraId="232FF9A4" w14:textId="77777777" w:rsidR="00A93EE3" w:rsidRPr="00BE29B9" w:rsidRDefault="00A93EE3" w:rsidP="004A7F92">
            <w:pPr>
              <w:jc w:val="both"/>
              <w:rPr>
                <w:b/>
                <w:bCs/>
                <w:iCs/>
                <w:sz w:val="20"/>
                <w:szCs w:val="20"/>
              </w:rPr>
            </w:pPr>
          </w:p>
        </w:tc>
      </w:tr>
      <w:tr w:rsidR="00A93EE3" w:rsidRPr="00BE29B9" w14:paraId="4863DC88" w14:textId="77777777" w:rsidTr="00A92BED">
        <w:trPr>
          <w:trHeight w:val="1150"/>
        </w:trPr>
        <w:tc>
          <w:tcPr>
            <w:tcW w:w="3167" w:type="dxa"/>
            <w:tcBorders>
              <w:right w:val="single" w:sz="4" w:space="0" w:color="auto"/>
            </w:tcBorders>
            <w:shd w:val="clear" w:color="auto" w:fill="auto"/>
          </w:tcPr>
          <w:p w14:paraId="49EAA448" w14:textId="77777777" w:rsidR="00A93EE3" w:rsidRPr="00BE29B9" w:rsidRDefault="00A93EE3" w:rsidP="00B61EC2">
            <w:pPr>
              <w:rPr>
                <w:b/>
                <w:i/>
                <w:iCs/>
                <w:sz w:val="20"/>
                <w:szCs w:val="20"/>
              </w:rPr>
            </w:pPr>
            <w:r w:rsidRPr="00BE29B9">
              <w:rPr>
                <w:b/>
                <w:i/>
                <w:iCs/>
                <w:sz w:val="20"/>
                <w:szCs w:val="20"/>
              </w:rPr>
              <w:t xml:space="preserve">Address: </w:t>
            </w:r>
          </w:p>
          <w:p w14:paraId="47712CAD" w14:textId="4D56AE79" w:rsidR="00C717F7" w:rsidRDefault="004A55D3" w:rsidP="00C717F7">
            <w:pPr>
              <w:rPr>
                <w:bCs/>
                <w:sz w:val="20"/>
                <w:szCs w:val="20"/>
                <w:lang w:val="fi-FI"/>
              </w:rPr>
            </w:pPr>
            <w:r w:rsidRPr="006F5538">
              <w:rPr>
                <w:bCs/>
                <w:color w:val="000000"/>
                <w:sz w:val="20"/>
                <w:szCs w:val="20"/>
                <w:lang w:val="fi-FI"/>
              </w:rPr>
              <w:t>Terminal Lingkungan 1</w:t>
            </w:r>
            <w:r>
              <w:rPr>
                <w:bCs/>
                <w:color w:val="000000"/>
                <w:sz w:val="20"/>
                <w:szCs w:val="20"/>
                <w:lang w:val="fi-FI"/>
              </w:rPr>
              <w:t xml:space="preserve"> </w:t>
            </w:r>
            <w:r w:rsidRPr="006F5538">
              <w:rPr>
                <w:bCs/>
                <w:color w:val="000000"/>
                <w:sz w:val="20"/>
                <w:szCs w:val="20"/>
                <w:lang w:val="fi-FI"/>
              </w:rPr>
              <w:t xml:space="preserve">Streat, Sidodadi, Wonomulyo, Polewali Mandar Regency, West Sulawesi Province, </w:t>
            </w:r>
            <w:r w:rsidR="0050766E" w:rsidRPr="0050766E">
              <w:rPr>
                <w:bCs/>
                <w:color w:val="000000"/>
                <w:sz w:val="20"/>
                <w:szCs w:val="20"/>
                <w:lang w:val="fi-FI"/>
              </w:rPr>
              <w:t>91342</w:t>
            </w:r>
            <w:r w:rsidR="0050766E">
              <w:rPr>
                <w:bCs/>
                <w:color w:val="000000"/>
                <w:sz w:val="20"/>
                <w:szCs w:val="20"/>
                <w:lang w:val="fi-FI"/>
              </w:rPr>
              <w:t xml:space="preserve"> -</w:t>
            </w:r>
            <w:r w:rsidR="0050766E" w:rsidRPr="0050766E">
              <w:rPr>
                <w:bCs/>
                <w:color w:val="000000"/>
                <w:sz w:val="20"/>
                <w:szCs w:val="20"/>
                <w:lang w:val="fi-FI"/>
              </w:rPr>
              <w:t xml:space="preserve"> </w:t>
            </w:r>
            <w:r w:rsidRPr="006F5538">
              <w:rPr>
                <w:bCs/>
                <w:color w:val="000000"/>
                <w:sz w:val="20"/>
                <w:szCs w:val="20"/>
                <w:lang w:val="fi-FI"/>
              </w:rPr>
              <w:t>Indonesia</w:t>
            </w:r>
            <w:r w:rsidR="00C717F7">
              <w:rPr>
                <w:bCs/>
                <w:sz w:val="20"/>
                <w:szCs w:val="20"/>
                <w:lang w:val="fi-FI"/>
              </w:rPr>
              <w:t xml:space="preserve">  </w:t>
            </w:r>
          </w:p>
          <w:p w14:paraId="5BCBBFB0" w14:textId="77777777" w:rsidR="00C717F7" w:rsidRDefault="00C717F7" w:rsidP="00C717F7">
            <w:pPr>
              <w:rPr>
                <w:b/>
                <w:i/>
                <w:iCs/>
                <w:sz w:val="20"/>
                <w:szCs w:val="20"/>
                <w:lang w:val="fi-FI"/>
              </w:rPr>
            </w:pPr>
            <w:r w:rsidRPr="00C717F7">
              <w:rPr>
                <w:b/>
                <w:i/>
                <w:iCs/>
                <w:sz w:val="20"/>
                <w:szCs w:val="20"/>
              </w:rPr>
              <w:t>Email</w:t>
            </w:r>
            <w:r>
              <w:rPr>
                <w:b/>
                <w:i/>
                <w:iCs/>
                <w:sz w:val="20"/>
                <w:szCs w:val="20"/>
                <w:lang w:val="fi-FI"/>
              </w:rPr>
              <w:t>:</w:t>
            </w:r>
          </w:p>
          <w:p w14:paraId="4742C9A5" w14:textId="027F3EBF" w:rsidR="00A93EE3" w:rsidRPr="0050766E" w:rsidRDefault="0050766E" w:rsidP="00C717F7">
            <w:pPr>
              <w:rPr>
                <w:bCs/>
                <w:sz w:val="20"/>
                <w:szCs w:val="20"/>
              </w:rPr>
            </w:pPr>
            <w:r w:rsidRPr="0050766E">
              <w:rPr>
                <w:sz w:val="20"/>
                <w:szCs w:val="20"/>
                <w:lang w:val="fi-FI"/>
              </w:rPr>
              <w:t>abdullhamidapple1295@icloud.com</w:t>
            </w:r>
          </w:p>
          <w:p w14:paraId="7B20899D" w14:textId="0828B765" w:rsidR="00A93EE3" w:rsidRPr="00BE29B9" w:rsidRDefault="00A93EE3" w:rsidP="00B61EC2">
            <w:pPr>
              <w:rPr>
                <w:bCs/>
                <w:sz w:val="20"/>
                <w:szCs w:val="20"/>
              </w:rPr>
            </w:pPr>
          </w:p>
        </w:tc>
        <w:tc>
          <w:tcPr>
            <w:tcW w:w="5810" w:type="dxa"/>
            <w:vMerge/>
            <w:tcBorders>
              <w:left w:val="single" w:sz="4" w:space="0" w:color="auto"/>
            </w:tcBorders>
            <w:shd w:val="clear" w:color="auto" w:fill="E2EFD9" w:themeFill="accent6" w:themeFillTint="33"/>
          </w:tcPr>
          <w:p w14:paraId="2A4C3396" w14:textId="77777777" w:rsidR="00A93EE3" w:rsidRPr="00BE29B9" w:rsidRDefault="00A93EE3" w:rsidP="004A7F92">
            <w:pPr>
              <w:jc w:val="both"/>
              <w:rPr>
                <w:b/>
                <w:bCs/>
                <w:iCs/>
                <w:sz w:val="20"/>
                <w:szCs w:val="20"/>
              </w:rPr>
            </w:pPr>
          </w:p>
        </w:tc>
      </w:tr>
      <w:tr w:rsidR="00A93EE3" w:rsidRPr="00BE29B9" w14:paraId="08269BAC" w14:textId="77777777" w:rsidTr="00A92BED">
        <w:trPr>
          <w:trHeight w:val="220"/>
        </w:trPr>
        <w:tc>
          <w:tcPr>
            <w:tcW w:w="3167" w:type="dxa"/>
            <w:tcBorders>
              <w:right w:val="single" w:sz="4" w:space="0" w:color="auto"/>
            </w:tcBorders>
            <w:shd w:val="clear" w:color="auto" w:fill="E2EFD9" w:themeFill="accent6" w:themeFillTint="33"/>
          </w:tcPr>
          <w:p w14:paraId="195EC0CC" w14:textId="1D105909" w:rsidR="00A93EE3" w:rsidRPr="00BE29B9" w:rsidRDefault="00BD326D" w:rsidP="00B61EC2">
            <w:pPr>
              <w:spacing w:before="60"/>
              <w:rPr>
                <w:bCs/>
                <w:sz w:val="20"/>
                <w:szCs w:val="20"/>
              </w:rPr>
            </w:pPr>
            <w:r w:rsidRPr="00BE29B9">
              <w:rPr>
                <w:b/>
                <w:sz w:val="20"/>
                <w:szCs w:val="20"/>
              </w:rPr>
              <w:t>Keywords:</w:t>
            </w:r>
          </w:p>
        </w:tc>
        <w:tc>
          <w:tcPr>
            <w:tcW w:w="5810" w:type="dxa"/>
            <w:vMerge/>
            <w:tcBorders>
              <w:left w:val="single" w:sz="4" w:space="0" w:color="auto"/>
            </w:tcBorders>
            <w:shd w:val="clear" w:color="auto" w:fill="E2EFD9" w:themeFill="accent6" w:themeFillTint="33"/>
          </w:tcPr>
          <w:p w14:paraId="631718FD" w14:textId="77777777" w:rsidR="00A93EE3" w:rsidRPr="00BE29B9" w:rsidRDefault="00A93EE3" w:rsidP="004A7F92">
            <w:pPr>
              <w:jc w:val="both"/>
              <w:rPr>
                <w:b/>
                <w:bCs/>
                <w:iCs/>
                <w:sz w:val="20"/>
                <w:szCs w:val="20"/>
              </w:rPr>
            </w:pPr>
          </w:p>
        </w:tc>
      </w:tr>
      <w:tr w:rsidR="00A93EE3" w:rsidRPr="00BE29B9" w14:paraId="0CBD463B" w14:textId="77777777" w:rsidTr="0083436C">
        <w:trPr>
          <w:trHeight w:val="411"/>
        </w:trPr>
        <w:tc>
          <w:tcPr>
            <w:tcW w:w="3167" w:type="dxa"/>
            <w:tcBorders>
              <w:right w:val="single" w:sz="4" w:space="0" w:color="auto"/>
            </w:tcBorders>
            <w:shd w:val="clear" w:color="auto" w:fill="auto"/>
          </w:tcPr>
          <w:p w14:paraId="549EDD04" w14:textId="65DC018A" w:rsidR="00A93EE3" w:rsidRPr="00BE29B9" w:rsidRDefault="0050766E" w:rsidP="00C717F7">
            <w:pPr>
              <w:rPr>
                <w:bCs/>
                <w:sz w:val="20"/>
                <w:szCs w:val="20"/>
              </w:rPr>
            </w:pPr>
            <w:r w:rsidRPr="00F9297C">
              <w:rPr>
                <w:sz w:val="20"/>
                <w:szCs w:val="20"/>
                <w:lang w:val="id-ID"/>
              </w:rPr>
              <w:t>audio</w:t>
            </w:r>
            <w:r>
              <w:rPr>
                <w:sz w:val="20"/>
                <w:szCs w:val="20"/>
                <w:lang w:val="id-ID"/>
              </w:rPr>
              <w:t>-</w:t>
            </w:r>
            <w:r w:rsidRPr="00F9297C">
              <w:rPr>
                <w:sz w:val="20"/>
                <w:szCs w:val="20"/>
                <w:lang w:val="id-ID"/>
              </w:rPr>
              <w:t>visual</w:t>
            </w:r>
            <w:r>
              <w:rPr>
                <w:sz w:val="20"/>
                <w:szCs w:val="20"/>
                <w:lang w:val="id-ID"/>
              </w:rPr>
              <w:t xml:space="preserve"> media</w:t>
            </w:r>
            <w:r w:rsidRPr="00F9297C">
              <w:rPr>
                <w:sz w:val="20"/>
                <w:szCs w:val="20"/>
                <w:lang w:val="id-ID"/>
              </w:rPr>
              <w:t>, learning outcomes</w:t>
            </w:r>
            <w:r>
              <w:rPr>
                <w:sz w:val="20"/>
                <w:szCs w:val="20"/>
                <w:lang w:val="id-ID"/>
              </w:rPr>
              <w:t>, learning tajweed</w:t>
            </w:r>
          </w:p>
        </w:tc>
        <w:tc>
          <w:tcPr>
            <w:tcW w:w="5810" w:type="dxa"/>
            <w:vMerge/>
            <w:tcBorders>
              <w:left w:val="single" w:sz="4" w:space="0" w:color="auto"/>
            </w:tcBorders>
            <w:shd w:val="clear" w:color="auto" w:fill="E2EFD9" w:themeFill="accent6" w:themeFillTint="33"/>
          </w:tcPr>
          <w:p w14:paraId="6D91C847" w14:textId="77777777" w:rsidR="00A93EE3" w:rsidRPr="00BE29B9" w:rsidRDefault="00A93EE3" w:rsidP="004A7F92">
            <w:pPr>
              <w:jc w:val="both"/>
              <w:rPr>
                <w:b/>
                <w:bCs/>
                <w:iCs/>
                <w:sz w:val="20"/>
                <w:szCs w:val="20"/>
              </w:rPr>
            </w:pPr>
          </w:p>
        </w:tc>
      </w:tr>
    </w:tbl>
    <w:p w14:paraId="260B0204" w14:textId="77777777" w:rsidR="00F47BE9" w:rsidRPr="00BE29B9" w:rsidRDefault="00F47BE9" w:rsidP="00F47BE9">
      <w:pPr>
        <w:jc w:val="center"/>
        <w:rPr>
          <w:rFonts w:cs="Arial"/>
          <w:b/>
          <w:lang w:eastAsia="id-ID"/>
        </w:rPr>
      </w:pPr>
    </w:p>
    <w:p w14:paraId="2A04A309" w14:textId="52E3DF16" w:rsidR="000A65BA" w:rsidRPr="000A65BA" w:rsidRDefault="000A65BA" w:rsidP="000A65BA">
      <w:pPr>
        <w:tabs>
          <w:tab w:val="left" w:pos="340"/>
        </w:tabs>
        <w:spacing w:line="276" w:lineRule="auto"/>
        <w:rPr>
          <w:b/>
          <w:caps/>
        </w:rPr>
      </w:pPr>
      <w:r w:rsidRPr="000A65BA">
        <w:rPr>
          <w:b/>
          <w:caps/>
        </w:rPr>
        <w:t>INTRODUCTIOn</w:t>
      </w:r>
    </w:p>
    <w:p w14:paraId="247B0EDB" w14:textId="77777777" w:rsidR="00980BB2" w:rsidRPr="00980BB2" w:rsidRDefault="00980BB2" w:rsidP="00980BB2">
      <w:pPr>
        <w:autoSpaceDE w:val="0"/>
        <w:autoSpaceDN w:val="0"/>
        <w:adjustRightInd w:val="0"/>
        <w:spacing w:line="276" w:lineRule="auto"/>
        <w:ind w:firstLine="720"/>
        <w:jc w:val="both"/>
        <w:rPr>
          <w:rFonts w:eastAsia="Calibri"/>
          <w:lang w:eastAsia="en-US"/>
        </w:rPr>
      </w:pPr>
      <w:r w:rsidRPr="00980BB2">
        <w:rPr>
          <w:lang w:eastAsia="en-US"/>
        </w:rPr>
        <w:t>Learning</w:t>
      </w:r>
      <w:r w:rsidRPr="00980BB2">
        <w:rPr>
          <w:rFonts w:eastAsia="Calibri"/>
          <w:lang w:eastAsia="en-US"/>
        </w:rPr>
        <w:t xml:space="preserve"> media is known as a teaching aid that should be utilized by teachers </w:t>
      </w:r>
      <w:r w:rsidRPr="00980BB2">
        <w:rPr>
          <w:rFonts w:eastAsia="Calibri"/>
          <w:lang w:val="id-ID" w:eastAsia="en-US"/>
        </w:rPr>
        <w:fldChar w:fldCharType="begin" w:fldLock="1"/>
      </w:r>
      <w:r w:rsidRPr="00980BB2">
        <w:rPr>
          <w:rFonts w:eastAsia="Calibri"/>
          <w:lang w:val="id-ID" w:eastAsia="en-US"/>
        </w:rPr>
        <w:instrText>ADDIN CSL_CITATION {"citationItems":[{"id":"ITEM-1","itemData":{"DOI":"10.1007/s11423-020-09749-6","ISSN":"1556-6501","author":[{"dropping-particle":"","family":"Mayer","given":"Richard E","non-dropping-particle":"","parse-names":false,"suffix":""},{"dropping-particle":"","family":"Fiorella","given":"Logan","non-dropping-particle":"","parse-names":false,"suffix":""},{"dropping-particle":"","family":"Stull","given":"Andrew","non-dropping-particle":"","parse-names":false,"suffix":""}],"container-title":"Educational Technology Research and Development","id":"ITEM-1","issue":"3","issued":{"date-parts":[["2020"]]},"page":"837-852","publisher":"Springer","title":"Five ways to increase the effectiveness of instructional video","type":"article-journal","volume":"68"},"uris":["http://www.mendeley.com/documents/?uuid=7110e41e-b88c-4472-b5cd-df434dc23299"]}],"mendeley":{"formattedCitation":"(Mayer, Fiorella, and Stull 2020)","plainTextFormattedCitation":"(Mayer, Fiorella, and Stull 2020)","previouslyFormattedCitation":"(Mayer, Fiorella, and Stull 2020)"},"properties":{"noteIndex":0},"schema":"https://github.com/citation-style-language/schema/raw/master/csl-citation.json"}</w:instrText>
      </w:r>
      <w:r w:rsidRPr="00980BB2">
        <w:rPr>
          <w:rFonts w:eastAsia="Calibri"/>
          <w:lang w:val="id-ID" w:eastAsia="en-US"/>
        </w:rPr>
        <w:fldChar w:fldCharType="separate"/>
      </w:r>
      <w:r w:rsidRPr="00980BB2">
        <w:rPr>
          <w:rFonts w:eastAsia="Calibri"/>
          <w:noProof/>
          <w:lang w:val="id-ID" w:eastAsia="en-US"/>
        </w:rPr>
        <w:t>(Mayer, Fiorella, and Stull 2020)</w:t>
      </w:r>
      <w:r w:rsidRPr="00980BB2">
        <w:rPr>
          <w:rFonts w:eastAsia="Calibri"/>
          <w:lang w:val="id-ID" w:eastAsia="en-US"/>
        </w:rPr>
        <w:fldChar w:fldCharType="end"/>
      </w:r>
      <w:r w:rsidRPr="00980BB2">
        <w:rPr>
          <w:rFonts w:eastAsia="Calibri"/>
          <w:lang w:eastAsia="en-US"/>
        </w:rPr>
        <w:t xml:space="preserve">. Unfortunately, the use of media is often neglected in learning. Teachers' problems in using media in learning are generally caused by various reasons, for example, limited teaching preparation time, difficulty finding the right media, costs not being available, or teachers' limitations in using technology </w:t>
      </w:r>
      <w:r w:rsidRPr="00980BB2">
        <w:rPr>
          <w:rFonts w:eastAsia="Calibri"/>
          <w:lang w:val="id-ID" w:eastAsia="en-US"/>
        </w:rPr>
        <w:fldChar w:fldCharType="begin" w:fldLock="1"/>
      </w:r>
      <w:r w:rsidRPr="00980BB2">
        <w:rPr>
          <w:rFonts w:eastAsia="Calibri"/>
          <w:lang w:val="id-ID" w:eastAsia="en-US"/>
        </w:rPr>
        <w:instrText>ADDIN CSL_CITATION {"citationItems":[{"id":"ITEM-1","itemData":{"DOI":"10.1016/j.compedu.2020.103857","ISSN":"0360-1315","author":[{"dropping-particle":"","family":"Liu","given":"Qian","non-dropping-particle":"","parse-names":false,"suffix":""},{"dropping-particle":"","family":"Geertshuis","given":"Susan","non-dropping-particle":"","parse-names":false,"suffix":""},{"dropping-particle":"","family":"Grainger","given":"Rebecca","non-dropping-particle":"","parse-names":false,"suffix":""}],"container-title":"Computers &amp; Education","id":"ITEM-1","issued":{"date-parts":[["2020"]]},"page":"103857","publisher":"Elsevier","title":"Understanding academics' adoption of learning technologies: A systematic review","type":"article-journal","volume":"151"},"uris":["http://www.mendeley.com/documents/?uuid=d0fd2d51-af52-4c9b-88de-5ab2df6b6a15"]}],"mendeley":{"formattedCitation":"(Liu, Geertshuis, and Grainger 2020)","plainTextFormattedCitation":"(Liu, Geertshuis, and Grainger 2020)","previouslyFormattedCitation":"(Liu, Geertshuis, and Grainger 2020)"},"properties":{"noteIndex":0},"schema":"https://github.com/citation-style-language/schema/raw/master/csl-citation.json"}</w:instrText>
      </w:r>
      <w:r w:rsidRPr="00980BB2">
        <w:rPr>
          <w:rFonts w:eastAsia="Calibri"/>
          <w:lang w:val="id-ID" w:eastAsia="en-US"/>
        </w:rPr>
        <w:fldChar w:fldCharType="separate"/>
      </w:r>
      <w:r w:rsidRPr="00980BB2">
        <w:rPr>
          <w:rFonts w:eastAsia="Calibri"/>
          <w:noProof/>
          <w:lang w:val="id-ID" w:eastAsia="en-US"/>
        </w:rPr>
        <w:t>(Liu, Geertshuis, and Grainger 2020)</w:t>
      </w:r>
      <w:r w:rsidRPr="00980BB2">
        <w:rPr>
          <w:rFonts w:eastAsia="Calibri"/>
          <w:lang w:val="id-ID" w:eastAsia="en-US"/>
        </w:rPr>
        <w:fldChar w:fldCharType="end"/>
      </w:r>
      <w:r w:rsidRPr="00980BB2">
        <w:rPr>
          <w:rFonts w:eastAsia="Calibri"/>
          <w:lang w:eastAsia="en-US"/>
        </w:rPr>
        <w:t xml:space="preserve">. This is a challenge for teachers in the 21st century, especially Islamic education teachers who generally still teach classical Islamic books and teach hadith and Quran conventionally </w:t>
      </w:r>
      <w:r w:rsidRPr="00980BB2">
        <w:rPr>
          <w:rFonts w:eastAsia="Calibri"/>
          <w:lang w:eastAsia="en-US"/>
        </w:rPr>
        <w:fldChar w:fldCharType="begin" w:fldLock="1"/>
      </w:r>
      <w:r w:rsidRPr="00980BB2">
        <w:rPr>
          <w:rFonts w:eastAsia="Calibri"/>
          <w:lang w:eastAsia="en-US"/>
        </w:rPr>
        <w:instrText>ADDIN CSL_CITATION {"citationItems":[{"id":"ITEM-1","itemData":{"DOI":"10.24042/atjpi.v13i1.9438","ISSN":"2528-2476","author":[{"dropping-particle":"","family":"Mun'im Amaly","given":"Abdul","non-dropping-particle":"","parse-names":false,"suffix":""},{"dropping-particle":"","family":"Ruswandi","given":"Uus","non-dropping-particle":"","parse-names":false,"suffix":""},{"dropping-particle":"","family":"Muhammad","given":"Giantomi","non-dropping-particle":"","parse-names":false,"suffix":""},{"dropping-particle":"","family":"Erihadiana","given":"Muhammad","non-dropping-particle":"","parse-names":false,"suffix":""}],"container-title":"Al-Tadzkiyyah: Jurnal Pendidikan Islam","id":"ITEM-1","issue":"1","issued":{"date-parts":[["2022"]]},"page":"47-62","title":"PAI (Islamic Religious Education) Teacher in Facing The Millenial Era Challenges","type":"article-journal","volume":"13"},"uris":["http://www.mendeley.com/documents/?uuid=1e8bf81e-84bb-4004-9b44-a42585fc1f86"]}],"mendeley":{"formattedCitation":"(Mun’im Amaly et al. 2022)","manualFormatting":"(Mun’im Amaly et al. 2022;","plainTextFormattedCitation":"(Mun’im Amaly et al. 2022)","previouslyFormattedCitation":"(Mun’im Amaly et al. 2022)"},"properties":{"noteIndex":0},"schema":"https://github.com/citation-style-language/schema/raw/master/csl-citation.json"}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(Mun’im Amaly et al. 2022;</w:t>
      </w:r>
      <w:r w:rsidRPr="00980BB2">
        <w:rPr>
          <w:rFonts w:eastAsia="Calibri"/>
          <w:lang w:eastAsia="en-US"/>
        </w:rPr>
        <w:fldChar w:fldCharType="end"/>
      </w:r>
      <w:r w:rsidRPr="00980BB2">
        <w:rPr>
          <w:rFonts w:eastAsia="Calibri"/>
          <w:lang w:eastAsia="en-US"/>
        </w:rPr>
        <w:t xml:space="preserve"> </w:t>
      </w:r>
      <w:r w:rsidRPr="00980BB2">
        <w:rPr>
          <w:rFonts w:eastAsia="Calibri"/>
          <w:lang w:eastAsia="en-US"/>
        </w:rPr>
        <w:fldChar w:fldCharType="begin" w:fldLock="1"/>
      </w:r>
      <w:r w:rsidRPr="00980BB2">
        <w:rPr>
          <w:rFonts w:eastAsia="Calibri"/>
          <w:lang w:eastAsia="en-US"/>
        </w:rPr>
        <w:instrText>ADDIN CSL_CITATION {"citationItems":[{"id":"ITEM-1","itemData":{"DOI":"10.51773/ajrs.v1i1.33","ISSN":"2775-2550","author":[{"dropping-particle":"","family":"Kholili","given":"Yusroful","non-dropping-particle":"","parse-names":false,"suffix":""}],"container-title":"AMCA Journal of Religion and Society","id":"ITEM-1","issue":"1","issued":{"date-parts":[["2021"]]},"page":"8-12","title":"Challenges for pesantren in the revolution era of society 5.0","type":"article-journal","volume":"1"},"uris":["http://www.mendeley.com/documents/?uuid=6a587df7-b9be-41c3-84f3-882378d132d5"]}],"mendeley":{"formattedCitation":"(Kholili 2021)","manualFormatting":"Kholili 2021;","plainTextFormattedCitation":"(Kholili 2021)","previouslyFormattedCitation":"(Kholili 2021)"},"properties":{"noteIndex":0},"schema":"https://github.com/citation-style-language/schema/raw/master/csl-citation.json"}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Kholili 2021;</w:t>
      </w:r>
      <w:r w:rsidRPr="00980BB2">
        <w:rPr>
          <w:rFonts w:eastAsia="Calibri"/>
          <w:lang w:eastAsia="en-US"/>
        </w:rPr>
        <w:fldChar w:fldCharType="end"/>
      </w:r>
      <w:r w:rsidRPr="00980BB2">
        <w:rPr>
          <w:rFonts w:eastAsia="Calibri"/>
          <w:lang w:eastAsia="en-US"/>
        </w:rPr>
        <w:t xml:space="preserve"> </w:t>
      </w:r>
      <w:r w:rsidRPr="00980BB2">
        <w:rPr>
          <w:rFonts w:eastAsia="Calibri"/>
          <w:lang w:eastAsia="en-US"/>
        </w:rPr>
        <w:fldChar w:fldCharType="begin" w:fldLock="1"/>
      </w:r>
      <w:r w:rsidRPr="00980BB2">
        <w:rPr>
          <w:rFonts w:eastAsia="Calibri"/>
          <w:lang w:eastAsia="en-US"/>
        </w:rPr>
        <w:instrText>ADDIN CSL_CITATION {"citationItems":[{"id":"ITEM-1","itemData":{"ISSN":"2600-9315","author":[{"dropping-particle":"","family":"Abdullah","given":"Muhammad Khairuddin Lim","non-dropping-particle":"","parse-names":false,"suffix":""},{"dropping-particle":"","family":"Ali","given":"Azham Mohd","non-dropping-particle":"","parse-names":false,"suffix":""},{"dropping-particle":"","family":"Abd Wahid","given":"Hariyaty","non-dropping-particle":"","parse-names":false,"suffix":""},{"dropping-particle":"","family":"Hudin","given":"Norlaile Salleh","non-dropping-particle":"","parse-names":false,"suffix":""}],"container-title":"Management Research Journal","id":"ITEM-1","issued":{"date-parts":[["2020"]]},"page":"36-42","title":"Integrated Model of The Implementation of Pedagogical Skills in Teaching and Learning of the 21st century among lecturers of Universiti Pendidikan Sultan Idris: Model Bersepadu Penerapan Kemahiran Pedagogi Pengajaran dan Pembelajaran abad ke 21 dalam kala","type":"article-journal","volume":"9"},"uris":["http://www.mendeley.com/documents/?uuid=83ef0726-70f6-484f-b3d7-1352d9549331"]}],"mendeley":{"formattedCitation":"(Abdullah et al. 2020)","manualFormatting":"Abdullah et al. 2020)","plainTextFormattedCitation":"(Abdullah et al. 2020)","previouslyFormattedCitation":"(Abdullah et al. 2020)"},"properties":{"noteIndex":0},"schema":"https://github.com/citation-style-language/schema/raw/master/csl-citation.json"}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Abdullah et al. 2020)</w:t>
      </w:r>
      <w:r w:rsidRPr="00980BB2">
        <w:rPr>
          <w:rFonts w:eastAsia="Calibri"/>
          <w:lang w:eastAsia="en-US"/>
        </w:rPr>
        <w:fldChar w:fldCharType="end"/>
      </w:r>
      <w:r w:rsidRPr="00980BB2">
        <w:rPr>
          <w:rFonts w:eastAsia="Calibri"/>
          <w:lang w:eastAsia="en-US"/>
        </w:rPr>
        <w:t>.</w:t>
      </w:r>
    </w:p>
    <w:p w14:paraId="1FF5AB12" w14:textId="77777777" w:rsidR="00980BB2" w:rsidRPr="00980BB2" w:rsidRDefault="00980BB2" w:rsidP="00980BB2">
      <w:pPr>
        <w:autoSpaceDE w:val="0"/>
        <w:autoSpaceDN w:val="0"/>
        <w:adjustRightInd w:val="0"/>
        <w:spacing w:line="276" w:lineRule="auto"/>
        <w:ind w:firstLine="720"/>
        <w:jc w:val="both"/>
        <w:rPr>
          <w:rFonts w:eastAsia="Calibri"/>
          <w:color w:val="000000"/>
          <w:lang w:eastAsia="en-US"/>
        </w:rPr>
      </w:pPr>
      <w:r w:rsidRPr="00980BB2">
        <w:rPr>
          <w:rFonts w:eastAsia="Calibri"/>
          <w:color w:val="000000"/>
          <w:lang w:eastAsia="en-US"/>
        </w:rPr>
        <w:t xml:space="preserve">Survey results from the Institute of Al-Qur’an Sciences (IIQ) Jakarta found that 65% of Muslims in Indonesia are still illiterate in the Quran, 35% can only read the Quran, while those who can read the Quran correctly (according to Tajweed science) are only 20% </w:t>
      </w:r>
      <w:r w:rsidRPr="00980BB2">
        <w:rPr>
          <w:rFonts w:eastAsia="Calibri"/>
          <w:color w:val="000000"/>
          <w:lang w:eastAsia="en-US"/>
        </w:rPr>
        <w:fldChar w:fldCharType="begin" w:fldLock="1"/>
      </w:r>
      <w:r w:rsidRPr="00980BB2">
        <w:rPr>
          <w:rFonts w:eastAsia="Calibri"/>
          <w:color w:val="000000"/>
          <w:lang w:eastAsia="en-US"/>
        </w:rPr>
        <w:instrText>ADDIN CSL_CITATION {"citationItems":[{"id":"ITEM-1","itemData":{"author":[{"dropping-particle":"","family":"Luk","given":"Luil Inayati","non-dropping-particle":"","parse-names":false,"suffix":""}],"id":"ITEM-1","issued":{"date-parts":[["2021"]]},"publisher":"Fakultas Agama Islam Universitas Muhammadiyah, Jakarta","title":"UPAYA GURU DALAM MENINGKATKAN KEMAMPUAN MEMBACA AL-QUR‟ AN SESUAI ILMU TAJWID PADA PEMBELAJARAN AL-QUR‟ AN ONLINE (STUDI KASUS DI YAYASAN AL IKHWAN MERUYA)","type":"article"},"uris":["http://www.mendeley.com/documents/?uuid=0201a39d-5260-490a-921a-aafcfcd79efd"]}],"mendeley":{"formattedCitation":"(Luk 2021)","plainTextFormattedCitation":"(Luk 2021)","previouslyFormattedCitation":"(Luk 2021)"},"properties":{"noteIndex":0},"schema":"https://github.com/citation-style-language/schema/raw/master/csl-citation.json"}</w:instrText>
      </w:r>
      <w:r w:rsidRPr="00980BB2">
        <w:rPr>
          <w:rFonts w:eastAsia="Calibri"/>
          <w:color w:val="000000"/>
          <w:lang w:eastAsia="en-US"/>
        </w:rPr>
        <w:fldChar w:fldCharType="separate"/>
      </w:r>
      <w:r w:rsidRPr="00980BB2">
        <w:rPr>
          <w:rFonts w:eastAsia="Calibri"/>
          <w:noProof/>
          <w:color w:val="000000"/>
          <w:lang w:eastAsia="en-US"/>
        </w:rPr>
        <w:t>(Luk 2021)</w:t>
      </w:r>
      <w:r w:rsidRPr="00980BB2">
        <w:rPr>
          <w:rFonts w:eastAsia="Calibri"/>
          <w:color w:val="000000"/>
          <w:lang w:eastAsia="en-US"/>
        </w:rPr>
        <w:fldChar w:fldCharType="end"/>
      </w:r>
      <w:r w:rsidRPr="00980BB2">
        <w:rPr>
          <w:rFonts w:eastAsia="Calibri"/>
          <w:color w:val="000000"/>
          <w:lang w:eastAsia="en-US"/>
        </w:rPr>
        <w:t xml:space="preserve">. </w:t>
      </w:r>
      <w:r w:rsidRPr="00980BB2">
        <w:rPr>
          <w:rFonts w:eastAsia="Calibri"/>
          <w:color w:val="000000"/>
          <w:lang w:eastAsia="en-US"/>
        </w:rPr>
        <w:lastRenderedPageBreak/>
        <w:t xml:space="preserve">The results of this survey are truly sad. With the majority of Muslims in Indonesia, apparently there are still many Muslims who cannot read the Quran </w:t>
      </w:r>
      <w:r w:rsidRPr="00980BB2">
        <w:rPr>
          <w:rFonts w:eastAsia="Calibri"/>
          <w:color w:val="000000"/>
          <w:lang w:eastAsia="en-US"/>
        </w:rPr>
        <w:fldChar w:fldCharType="begin" w:fldLock="1"/>
      </w:r>
      <w:r w:rsidRPr="00980BB2">
        <w:rPr>
          <w:rFonts w:eastAsia="Calibri"/>
          <w:color w:val="000000"/>
          <w:lang w:eastAsia="en-US"/>
        </w:rPr>
        <w:instrText>ADDIN CSL_CITATION {"citationItems":[{"id":"ITEM-1","itemData":{"ISSN":"2962-536X","author":[{"dropping-particle":"","family":"Burga","given":"Muhammad Alqadri","non-dropping-particle":"","parse-names":false,"suffix":""}],"container-title":"Ash-Shahabah: Jurnal Pengabdian Masyarakat","id":"ITEM-1","issue":"1","issued":{"date-parts":[["2023"]]},"page":"8-14","title":"Pendampingan Baca Tulis Al-Qur’an (BTQ) Mahasiswa Melalui Pesantren Arbain pada Universitas Islam Makassar","type":"article-journal","volume":"2"},"uris":["http://www.mendeley.com/documents/?uuid=a1eeb10e-c846-453d-b888-00f7a4df9571"]}],"mendeley":{"formattedCitation":"(Burga 2023)","plainTextFormattedCitation":"(Burga 2023)","previouslyFormattedCitation":"(Burga 2023)"},"properties":{"noteIndex":0},"schema":"https://github.com/citation-style-language/schema/raw/master/csl-citation.json"}</w:instrText>
      </w:r>
      <w:r w:rsidRPr="00980BB2">
        <w:rPr>
          <w:rFonts w:eastAsia="Calibri"/>
          <w:color w:val="000000"/>
          <w:lang w:eastAsia="en-US"/>
        </w:rPr>
        <w:fldChar w:fldCharType="separate"/>
      </w:r>
      <w:r w:rsidRPr="00980BB2">
        <w:rPr>
          <w:rFonts w:eastAsia="Calibri"/>
          <w:noProof/>
          <w:color w:val="000000"/>
          <w:lang w:eastAsia="en-US"/>
        </w:rPr>
        <w:t>(Burga 2023)</w:t>
      </w:r>
      <w:r w:rsidRPr="00980BB2">
        <w:rPr>
          <w:rFonts w:eastAsia="Calibri"/>
          <w:color w:val="000000"/>
          <w:lang w:eastAsia="en-US"/>
        </w:rPr>
        <w:fldChar w:fldCharType="end"/>
      </w:r>
      <w:r w:rsidRPr="00980BB2">
        <w:rPr>
          <w:rFonts w:eastAsia="Calibri"/>
          <w:color w:val="000000"/>
          <w:lang w:eastAsia="en-US"/>
        </w:rPr>
        <w:t>.</w:t>
      </w:r>
    </w:p>
    <w:p w14:paraId="2EB09E44" w14:textId="35265AAF" w:rsidR="00980BB2" w:rsidRPr="00980BB2" w:rsidRDefault="00980BB2" w:rsidP="00980BB2">
      <w:pPr>
        <w:suppressAutoHyphens w:val="0"/>
        <w:spacing w:line="276" w:lineRule="auto"/>
        <w:ind w:firstLine="720"/>
        <w:jc w:val="both"/>
        <w:rPr>
          <w:rFonts w:eastAsia="Calibri"/>
          <w:color w:val="000000"/>
          <w:lang w:eastAsia="en-US"/>
        </w:rPr>
      </w:pPr>
      <w:r w:rsidRPr="00980BB2">
        <w:rPr>
          <w:rFonts w:eastAsia="Calibri"/>
          <w:color w:val="000000"/>
          <w:lang w:eastAsia="en-US"/>
        </w:rPr>
        <w:t xml:space="preserve">This problem is the main concern of the </w:t>
      </w:r>
      <w:proofErr w:type="spellStart"/>
      <w:r w:rsidRPr="00980BB2">
        <w:rPr>
          <w:rFonts w:eastAsia="Calibri"/>
          <w:color w:val="000000"/>
          <w:lang w:eastAsia="en-US"/>
        </w:rPr>
        <w:t>Tahfidzul</w:t>
      </w:r>
      <w:proofErr w:type="spellEnd"/>
      <w:r w:rsidRPr="00980BB2">
        <w:rPr>
          <w:rFonts w:eastAsia="Calibri"/>
          <w:color w:val="000000"/>
          <w:lang w:eastAsia="en-US"/>
        </w:rPr>
        <w:t xml:space="preserve"> Qur</w:t>
      </w:r>
      <w:r>
        <w:rPr>
          <w:rFonts w:eastAsia="Calibri"/>
          <w:color w:val="000000"/>
          <w:lang w:eastAsia="en-US"/>
        </w:rPr>
        <w:t>’</w:t>
      </w:r>
      <w:r w:rsidRPr="00980BB2">
        <w:rPr>
          <w:rFonts w:eastAsia="Calibri"/>
          <w:color w:val="000000"/>
          <w:lang w:eastAsia="en-US"/>
        </w:rPr>
        <w:t xml:space="preserve">an </w:t>
      </w:r>
      <w:proofErr w:type="spellStart"/>
      <w:r w:rsidRPr="00980BB2">
        <w:rPr>
          <w:rFonts w:eastAsia="Calibri"/>
          <w:color w:val="000000"/>
          <w:lang w:eastAsia="en-US"/>
        </w:rPr>
        <w:t>As</w:t>
      </w:r>
      <w:r>
        <w:rPr>
          <w:rFonts w:eastAsia="Calibri"/>
          <w:color w:val="000000"/>
          <w:lang w:eastAsia="en-US"/>
        </w:rPr>
        <w:t>’</w:t>
      </w:r>
      <w:r w:rsidRPr="00980BB2">
        <w:rPr>
          <w:rFonts w:eastAsia="Calibri"/>
          <w:color w:val="000000"/>
          <w:lang w:eastAsia="en-US"/>
        </w:rPr>
        <w:t>adiyah</w:t>
      </w:r>
      <w:proofErr w:type="spellEnd"/>
      <w:r w:rsidRPr="00980BB2">
        <w:rPr>
          <w:rFonts w:eastAsia="Calibri"/>
          <w:color w:val="000000"/>
          <w:lang w:eastAsia="en-US"/>
        </w:rPr>
        <w:t xml:space="preserve"> </w:t>
      </w:r>
      <w:proofErr w:type="spellStart"/>
      <w:r w:rsidRPr="00980BB2">
        <w:rPr>
          <w:rFonts w:eastAsia="Calibri"/>
          <w:color w:val="000000"/>
          <w:lang w:eastAsia="en-US"/>
        </w:rPr>
        <w:t>Wonomulyo</w:t>
      </w:r>
      <w:proofErr w:type="spellEnd"/>
      <w:r w:rsidRPr="00980BB2">
        <w:rPr>
          <w:rFonts w:eastAsia="Calibri"/>
          <w:color w:val="000000"/>
          <w:lang w:eastAsia="en-US"/>
        </w:rPr>
        <w:t xml:space="preserve"> Islamic Boarding School, </w:t>
      </w:r>
      <w:proofErr w:type="spellStart"/>
      <w:r w:rsidRPr="00980BB2">
        <w:rPr>
          <w:rFonts w:eastAsia="Calibri"/>
          <w:color w:val="000000"/>
          <w:lang w:eastAsia="en-US"/>
        </w:rPr>
        <w:t>Polewali</w:t>
      </w:r>
      <w:proofErr w:type="spellEnd"/>
      <w:r w:rsidRPr="00980BB2">
        <w:rPr>
          <w:rFonts w:eastAsia="Calibri"/>
          <w:color w:val="000000"/>
          <w:lang w:eastAsia="en-US"/>
        </w:rPr>
        <w:t xml:space="preserve"> Mandar Regency. This Islamic boarding school innovates learning by applying audio-visual media in learning Al-Qur'an Hadith with Tajweed material. This is to increase student motivation and interest while eliminating student boredom in learning Tajweed </w:t>
      </w:r>
      <w:r w:rsidRPr="00980BB2">
        <w:rPr>
          <w:rFonts w:eastAsia="Calibri"/>
          <w:lang w:val="id-ID" w:eastAsia="en-US"/>
        </w:rPr>
        <w:fldChar w:fldCharType="begin" w:fldLock="1"/>
      </w:r>
      <w:r w:rsidRPr="00980BB2">
        <w:rPr>
          <w:rFonts w:eastAsia="Calibri"/>
          <w:lang w:val="id-ID" w:eastAsia="en-US"/>
        </w:rPr>
        <w:instrText>ADDIN CSL_CITATION {"citationItems":[{"id":"ITEM-1","itemData":{"DOI":"10.30829/raudhah.v10i2.2004","ISSN":"2716-2435","author":[{"dropping-particle":"","family":"Lubis","given":"Tari Cantika","non-dropping-particle":"","parse-names":false,"suffix":""},{"dropping-particle":"","family":"Mavianti","given":"Mavianti","non-dropping-particle":"","parse-names":false,"suffix":""}],"container-title":"Jurnal Raudhah","id":"ITEM-1","issue":"2","issued":{"date-parts":[["2022"]]},"page":"45-53","title":"Penerapan Media Audio Visual Dalam Meningkatkan Motivasi Belajar Pendidikan Agama Islam Pada Anak","type":"article-journal","volume":"10"},"uris":["http://www.mendeley.com/documents/?uuid=81282f00-0b46-437c-ae30-87ad413e8456"]}],"mendeley":{"formattedCitation":"(Lubis and Mavianti 2022)","plainTextFormattedCitation":"(Lubis and Mavianti 2022)","previouslyFormattedCitation":"(Lubis and Mavianti 2022)"},"properties":{"noteIndex":0},"schema":"https://github.com/citation-style-language/schema/raw/master/csl-citation.json"}</w:instrText>
      </w:r>
      <w:r w:rsidRPr="00980BB2">
        <w:rPr>
          <w:rFonts w:eastAsia="Calibri"/>
          <w:lang w:val="id-ID" w:eastAsia="en-US"/>
        </w:rPr>
        <w:fldChar w:fldCharType="separate"/>
      </w:r>
      <w:r w:rsidRPr="00980BB2">
        <w:rPr>
          <w:rFonts w:eastAsia="Calibri"/>
          <w:noProof/>
          <w:lang w:val="id-ID" w:eastAsia="en-US"/>
        </w:rPr>
        <w:t>(Lubis and Mavianti 2022)</w:t>
      </w:r>
      <w:r w:rsidRPr="00980BB2">
        <w:rPr>
          <w:rFonts w:eastAsia="Calibri"/>
          <w:lang w:val="id-ID" w:eastAsia="en-US"/>
        </w:rPr>
        <w:fldChar w:fldCharType="end"/>
      </w:r>
      <w:r w:rsidRPr="00980BB2">
        <w:rPr>
          <w:rFonts w:eastAsia="Calibri"/>
          <w:color w:val="000000"/>
          <w:lang w:eastAsia="en-US"/>
        </w:rPr>
        <w:t xml:space="preserve">. This innovation is very important because generally learning Tajweed in Islamic boarding schools still uses the rote method. This makes Tajweed material seem difficult, boring, students' interest continues to decrease, and learning outcomes are not optimal </w:t>
      </w:r>
      <w:r w:rsidRPr="00980BB2">
        <w:rPr>
          <w:rFonts w:eastAsia="Calibri"/>
          <w:lang w:val="id-ID" w:eastAsia="en-US"/>
        </w:rPr>
        <w:fldChar w:fldCharType="begin" w:fldLock="1"/>
      </w:r>
      <w:r w:rsidRPr="00980BB2">
        <w:rPr>
          <w:rFonts w:eastAsia="Calibri"/>
          <w:lang w:val="id-ID" w:eastAsia="en-US"/>
        </w:rPr>
        <w:instrText>ADDIN CSL_CITATION {"citationItems":[{"id":"ITEM-1","itemData":{"DOI":"10.35931/aq.v17i6.2225","ISSN":"2621-0681","author":[{"dropping-particle":"","family":"Ulfah","given":"Siti Ariani","non-dropping-particle":"","parse-names":false,"suffix":""},{"dropping-particle":"","family":"Raihanah","given":"Raihanah","non-dropping-particle":"","parse-names":false,"suffix":""}],"container-title":"Al Qalam: Jurnal Ilmiah Keagamaan dan Kemasyarakatan","id":"ITEM-1","issue":"6","issued":{"date-parts":[["2023"]]},"page":"4251-4260","title":"Problematika Pembelajaran Tajwid Tahsin Lembaga Pengajian dan Pengkajian Al-Qur’an (LPPQ) UIN Antasari Banjarmasin","type":"article-journal","volume":"17"},"uris":["http://www.mendeley.com/documents/?uuid=41a14da5-851f-4282-b87f-63ca31c69f48"]}],"mendeley":{"formattedCitation":"(Ulfah and Raihanah 2023)","plainTextFormattedCitation":"(Ulfah and Raihanah 2023)","previouslyFormattedCitation":"(Ulfah and Raihanah 2023)"},"properties":{"noteIndex":0},"schema":"https://github.com/citation-style-language/schema/raw/master/csl-citation.json"}</w:instrText>
      </w:r>
      <w:r w:rsidRPr="00980BB2">
        <w:rPr>
          <w:rFonts w:eastAsia="Calibri"/>
          <w:lang w:val="id-ID" w:eastAsia="en-US"/>
        </w:rPr>
        <w:fldChar w:fldCharType="separate"/>
      </w:r>
      <w:r w:rsidRPr="00980BB2">
        <w:rPr>
          <w:rFonts w:eastAsia="Calibri"/>
          <w:noProof/>
          <w:lang w:val="id-ID" w:eastAsia="en-US"/>
        </w:rPr>
        <w:t>(Ulfah and Raihanah 2023)</w:t>
      </w:r>
      <w:r w:rsidRPr="00980BB2">
        <w:rPr>
          <w:rFonts w:eastAsia="Calibri"/>
          <w:lang w:val="id-ID" w:eastAsia="en-US"/>
        </w:rPr>
        <w:fldChar w:fldCharType="end"/>
      </w:r>
      <w:r w:rsidRPr="00980BB2">
        <w:rPr>
          <w:rFonts w:eastAsia="Calibri"/>
          <w:color w:val="000000"/>
          <w:lang w:eastAsia="en-US"/>
        </w:rPr>
        <w:t>.</w:t>
      </w:r>
    </w:p>
    <w:p w14:paraId="48B4708B" w14:textId="77777777" w:rsidR="00980BB2" w:rsidRPr="00980BB2" w:rsidRDefault="00980BB2" w:rsidP="00980BB2">
      <w:pPr>
        <w:suppressAutoHyphens w:val="0"/>
        <w:spacing w:line="276" w:lineRule="auto"/>
        <w:ind w:firstLine="720"/>
        <w:jc w:val="both"/>
        <w:rPr>
          <w:rFonts w:eastAsia="Calibri"/>
          <w:lang w:eastAsia="en-US"/>
        </w:rPr>
      </w:pPr>
      <w:r w:rsidRPr="00980BB2">
        <w:rPr>
          <w:rFonts w:eastAsia="Calibri"/>
          <w:lang w:eastAsia="en-US"/>
        </w:rPr>
        <w:t xml:space="preserve">The solution to these learning difficulties is the use of audio-visual media in learning </w:t>
      </w:r>
      <w:r w:rsidRPr="00980BB2">
        <w:rPr>
          <w:rFonts w:eastAsia="Calibri"/>
          <w:lang w:eastAsia="en-US"/>
        </w:rPr>
        <w:fldChar w:fldCharType="begin" w:fldLock="1"/>
      </w:r>
      <w:r w:rsidRPr="00980BB2">
        <w:rPr>
          <w:rFonts w:eastAsia="Calibri"/>
          <w:lang w:eastAsia="en-US"/>
        </w:rPr>
        <w:instrText>ADDIN CSL_CITATION {"citationItems":[{"id":"ITEM-1","itemData":{"DOI":"10.24203/ajas.v10i1.6864","author":[{"dropping-particle":"","family":"Nurhayati","given":"Nurhayati","non-dropping-particle":"","parse-names":false,"suffix":""},{"dropping-particle":"","family":"Husain","given":"Syam","non-dropping-particle":"","parse-names":false,"suffix":""},{"dropping-particle":"","family":"Samad","given":"Sulaiman","non-dropping-particle":"","parse-names":false,"suffix":""}],"container-title":"Asian Journal of Applied Sciences","id":"ITEM-1","issue":"1","issued":{"date-parts":[["2022"]]},"page":"53-58","title":"Development of Audio-Visual Learning Media for Islamic Religious Education in High School","type":"article-journal","volume":"10"},"uris":["http://www.mendeley.com/documents/?uuid=b0962a1b-d05c-4430-b0e1-d0ebaf0e8893"]}],"mendeley":{"formattedCitation":"(Nurhayati, Husain, and Samad 2022)","manualFormatting":"(Nurhayati, Husain, and Samad 2022;","plainTextFormattedCitation":"(Nurhayati, Husain, and Samad 2022)","previouslyFormattedCitation":"(Nurhayati, Husain, and Samad 2022)"},"properties":{"noteIndex":0},"schema":"https://github.com/citation-style-language/schema/raw/master/csl-citation.json"}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(Nurhayati, Husain, and Samad 2022;</w:t>
      </w:r>
      <w:r w:rsidRPr="00980BB2">
        <w:rPr>
          <w:rFonts w:eastAsia="Calibri"/>
          <w:lang w:eastAsia="en-US"/>
        </w:rPr>
        <w:fldChar w:fldCharType="end"/>
      </w:r>
      <w:r w:rsidRPr="00980BB2">
        <w:rPr>
          <w:rFonts w:eastAsia="Calibri"/>
          <w:lang w:eastAsia="en-US"/>
        </w:rPr>
        <w:t xml:space="preserve"> </w:t>
      </w:r>
      <w:r w:rsidRPr="00980BB2">
        <w:rPr>
          <w:rFonts w:eastAsia="Calibri"/>
          <w:lang w:eastAsia="en-US"/>
        </w:rPr>
        <w:fldChar w:fldCharType="begin" w:fldLock="1"/>
      </w:r>
      <w:r w:rsidRPr="00980BB2">
        <w:rPr>
          <w:rFonts w:eastAsia="Calibri"/>
          <w:lang w:eastAsia="en-US"/>
        </w:rPr>
        <w:instrText>ADDIN CSL_CITATION {"citationItems":[{"id":"ITEM-1","itemData":{"ISSN":"2715-4572","author":[{"dropping-particle":"","family":"Winarto","given":"Winarto","non-dropping-particle":"","parse-names":false,"suffix":""},{"dropping-particle":"","family":"Syahid","given":"Ahmad","non-dropping-particle":"","parse-names":false,"suffix":""},{"dropping-particle":"","family":"Saguni","given":"Fatimah","non-dropping-particle":"","parse-names":false,"suffix":""}],"container-title":"International Journal of Contemporary Islamic Education","id":"ITEM-1","issue":"1","issued":{"date-parts":[["2020"]]},"page":"81-107","title":"Effectiveness the use of audio visual media in teaching islamic religious education","type":"article-journal","volume":"2"},"uris":["http://www.mendeley.com/documents/?uuid=7fd7a387-1819-4add-a653-4c1dcdfbd67f"]}],"mendeley":{"formattedCitation":"(Winarto, Syahid, and Saguni 2020)","manualFormatting":"Winarto, Syahid, and Saguni 2020)","plainTextFormattedCitation":"(Winarto, Syahid, and Saguni 2020)","previouslyFormattedCitation":"(Winarto, Syahid, and Saguni 2020)"},"properties":{"noteIndex":0},"schema":"https://github.com/citation-style-language/schema/raw/master/csl-citation.json"}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Winarto, Syahid, and Saguni 2020)</w:t>
      </w:r>
      <w:r w:rsidRPr="00980BB2">
        <w:rPr>
          <w:rFonts w:eastAsia="Calibri"/>
          <w:lang w:eastAsia="en-US"/>
        </w:rPr>
        <w:fldChar w:fldCharType="end"/>
      </w:r>
      <w:r w:rsidRPr="00980BB2">
        <w:rPr>
          <w:rFonts w:eastAsia="Calibri"/>
          <w:lang w:eastAsia="en-US"/>
        </w:rPr>
        <w:t xml:space="preserve">. This assumption is based on the theory of three main cognitive learning styles: auditory (learning with hearing instruments), visual (learning by what he sees), and kinesthetic (learning by practicing) </w:t>
      </w:r>
      <w:r w:rsidRPr="00980BB2">
        <w:rPr>
          <w:rFonts w:eastAsia="Calibri"/>
          <w:lang w:eastAsia="en-US"/>
        </w:rPr>
        <w:fldChar w:fldCharType="begin" w:fldLock="1"/>
      </w:r>
      <w:r w:rsidRPr="00980BB2">
        <w:rPr>
          <w:rFonts w:eastAsia="Calibri"/>
          <w:lang w:eastAsia="en-US"/>
        </w:rPr>
        <w:instrText>ADDIN CSL_CITATION {"citationItems":[{"id":"ITEM-1","itemData":{"ISBN":"6238059273","author":[{"dropping-particle":"","family":"Ikmal","given":"Hepi","non-dropping-particle":"","parse-names":false,"suffix":""}],"id":"ITEM-1","issued":{"date-parts":[["2023"]]},"publisher":"Nawa Litera Publishing","publisher-place":"Lamongan","title":"Media Pembelajaran Pendidikan Agama Islam: Konsep, Pemilihan, Pengembangan dan Evaluasi","type":"book"},"uris":["http://www.mendeley.com/documents/?uuid=2ebf96fd-0877-47de-8a68-61b2b82b9973"]}],"mendeley":{"formattedCitation":"(Ikmal 2023)","plainTextFormattedCitation":"(Ikmal 2023)","previouslyFormattedCitation":"(Ikmal 2023)"},"properties":{"noteIndex":0},"schema":"https://github.com/citation-style-language/schema/raw/master/csl-citation.json"}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(Ikmal 2023)</w:t>
      </w:r>
      <w:r w:rsidRPr="00980BB2">
        <w:rPr>
          <w:rFonts w:eastAsia="Calibri"/>
          <w:lang w:eastAsia="en-US"/>
        </w:rPr>
        <w:fldChar w:fldCharType="end"/>
      </w:r>
      <w:r w:rsidRPr="00980BB2">
        <w:rPr>
          <w:rFonts w:eastAsia="Calibri"/>
          <w:lang w:eastAsia="en-US"/>
        </w:rPr>
        <w:t xml:space="preserve">. Meanwhile, audio-visual learning media can be heard, seen, and practiced so that it is relevant to all students with different learning styles </w:t>
      </w:r>
      <w:r w:rsidRPr="00980BB2">
        <w:rPr>
          <w:rFonts w:eastAsia="Calibri"/>
          <w:lang w:eastAsia="en-US"/>
        </w:rPr>
        <w:fldChar w:fldCharType="begin" w:fldLock="1"/>
      </w:r>
      <w:r w:rsidRPr="00980BB2">
        <w:rPr>
          <w:rFonts w:eastAsia="Calibri"/>
          <w:lang w:eastAsia="en-US"/>
        </w:rPr>
        <w:instrText>ADDIN CSL_CITATION {"citationItems":[{"id":"ITEM-1","itemData":{"DOI":"10.47405/mjssh.v8i5.2329","ISSN":"2504-8562","author":[{"dropping-particle":"","family":"Mohamed","given":"Faraliza","non-dropping-particle":"","parse-names":false,"suffix":""},{"dropping-particle":"","family":"Surat","given":"Shahlan","non-dropping-particle":"","parse-names":false,"suffix":""}],"container-title":"Malaysian Journal of Social Sciences and Humanities (MJSSH)","id":"ITEM-1","issue":"5","issued":{"date-parts":[["2023"]]},"page":"e002329","title":"Pengetahuan dan Amalan Pengajaran VAK Guru dalam Prasekolah","type":"article-journal","volume":"8"},"uris":["http://www.mendeley.com/documents/?uuid=62efaccb-ff3e-495a-becb-aedc69f79059"]}],"mendeley":{"formattedCitation":"(Mohamed and Surat 2023)","plainTextFormattedCitation":"(Mohamed and Surat 2023)","previouslyFormattedCitation":"(Mohamed and Surat 2023)"},"properties":{"noteIndex":0},"schema":"https://github.com/citation-style-language/schema/raw/master/csl-citation.json"}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(Mohamed and Surat 2023)</w:t>
      </w:r>
      <w:r w:rsidRPr="00980BB2">
        <w:rPr>
          <w:rFonts w:eastAsia="Calibri"/>
          <w:lang w:eastAsia="en-US"/>
        </w:rPr>
        <w:fldChar w:fldCharType="end"/>
      </w:r>
      <w:r w:rsidRPr="00980BB2">
        <w:rPr>
          <w:rFonts w:eastAsia="Calibri"/>
          <w:lang w:eastAsia="en-US"/>
        </w:rPr>
        <w:t>.</w:t>
      </w:r>
    </w:p>
    <w:p w14:paraId="4D4E562B" w14:textId="72CBDC94" w:rsidR="00980BB2" w:rsidRPr="00980BB2" w:rsidRDefault="00980BB2" w:rsidP="00980BB2">
      <w:pPr>
        <w:suppressAutoHyphens w:val="0"/>
        <w:spacing w:line="276" w:lineRule="auto"/>
        <w:ind w:firstLine="720"/>
        <w:jc w:val="both"/>
        <w:rPr>
          <w:rFonts w:eastAsia="Calibri"/>
          <w:lang w:eastAsia="en-US"/>
        </w:rPr>
      </w:pPr>
      <w:r w:rsidRPr="00980BB2">
        <w:rPr>
          <w:rFonts w:eastAsia="Calibri"/>
          <w:lang w:eastAsia="en-US"/>
        </w:rPr>
        <w:t xml:space="preserve">Based on previous research, audio-visual learning media has been proven to improve student learning outcomes </w:t>
      </w:r>
      <w:r w:rsidRPr="00980BB2">
        <w:rPr>
          <w:rFonts w:eastAsia="Calibri"/>
          <w:lang w:eastAsia="en-US"/>
        </w:rPr>
        <w:fldChar w:fldCharType="begin" w:fldLock="1"/>
      </w:r>
      <w:r w:rsidRPr="00980BB2">
        <w:rPr>
          <w:rFonts w:eastAsia="Calibri"/>
          <w:lang w:eastAsia="en-US"/>
        </w:rPr>
        <w:instrText>ADDIN CSL_CITATION {"citationItems":[{"id":"ITEM-1","itemData":{"DOI":"10.21831/jpv.v11i1.36439","ISSN":"2476-9401","author":[{"dropping-particle":"","family":"Mashudi","given":"Mashudi","non-dropping-particle":"","parse-names":false,"suffix":""},{"dropping-particle":"","family":"Komariah","given":"Kokom","non-dropping-particle":"","parse-names":false,"suffix":""},{"dropping-particle":"","family":"Irvan","given":"Moh Farizqo","non-dropping-particle":"","parse-names":false,"suffix":""}],"container-title":"Jurnal Pendidikan Vokasi","id":"ITEM-1","issue":"1","issued":{"date-parts":[["2021"]]},"page":"14-23","title":"The use of audio-visual media in improving Culinary students learning outcomes in Chicken Carcass material","type":"article-journal","volume":"11"},"uris":["http://www.mendeley.com/documents/?uuid=1f71fdda-a7fe-4bb9-a85f-9e5de339a5df"]}],"mendeley":{"formattedCitation":"(Mashudi, Komariah, and Irvan 2021)","plainTextFormattedCitation":"(Mashudi, Komariah, and Irvan 2021)","previouslyFormattedCitation":"(Mashudi, Komariah, and Irvan 2021)"},"properties":{"noteIndex":0},"schema":"https://github.com/citation-style-language/schema/raw/master/csl-citation.json"}</w:instrText>
      </w:r>
      <w:r w:rsidRPr="00980BB2">
        <w:rPr>
          <w:rFonts w:eastAsia="Calibri"/>
          <w:lang w:eastAsia="en-US"/>
        </w:rPr>
        <w:fldChar w:fldCharType="separate"/>
      </w:r>
      <w:r w:rsidRPr="00980BB2">
        <w:rPr>
          <w:rFonts w:eastAsia="Calibri"/>
          <w:lang w:eastAsia="en-US"/>
        </w:rPr>
        <w:t>(</w:t>
      </w:r>
      <w:proofErr w:type="spellStart"/>
      <w:r w:rsidRPr="00980BB2">
        <w:rPr>
          <w:rFonts w:eastAsia="Calibri"/>
          <w:lang w:eastAsia="en-US"/>
        </w:rPr>
        <w:t>Mashudi</w:t>
      </w:r>
      <w:proofErr w:type="spellEnd"/>
      <w:r w:rsidRPr="00980BB2">
        <w:rPr>
          <w:rFonts w:eastAsia="Calibri"/>
          <w:lang w:eastAsia="en-US"/>
        </w:rPr>
        <w:t xml:space="preserve">, </w:t>
      </w:r>
      <w:proofErr w:type="spellStart"/>
      <w:r w:rsidRPr="00980BB2">
        <w:rPr>
          <w:rFonts w:eastAsia="Calibri"/>
          <w:lang w:eastAsia="en-US"/>
        </w:rPr>
        <w:t>Komariah</w:t>
      </w:r>
      <w:proofErr w:type="spellEnd"/>
      <w:r w:rsidRPr="00980BB2">
        <w:rPr>
          <w:rFonts w:eastAsia="Calibri"/>
          <w:lang w:eastAsia="en-US"/>
        </w:rPr>
        <w:t>, and Irvan 2021)</w:t>
      </w:r>
      <w:r w:rsidRPr="00980BB2">
        <w:rPr>
          <w:rFonts w:eastAsia="Calibri"/>
          <w:lang w:eastAsia="en-US"/>
        </w:rPr>
        <w:fldChar w:fldCharType="end"/>
      </w:r>
      <w:r w:rsidRPr="00980BB2">
        <w:rPr>
          <w:rFonts w:eastAsia="Calibri"/>
          <w:lang w:eastAsia="en-US"/>
        </w:rPr>
        <w:t xml:space="preserve">. However, studies on </w:t>
      </w:r>
      <w:proofErr w:type="spellStart"/>
      <w:r w:rsidRPr="00980BB2">
        <w:rPr>
          <w:rFonts w:eastAsia="Calibri"/>
          <w:lang w:eastAsia="en-US"/>
        </w:rPr>
        <w:t>tajweed</w:t>
      </w:r>
      <w:proofErr w:type="spellEnd"/>
      <w:r w:rsidRPr="00980BB2">
        <w:rPr>
          <w:rFonts w:eastAsia="Calibri"/>
          <w:lang w:eastAsia="en-US"/>
        </w:rPr>
        <w:t xml:space="preserve"> learning still focus on (1) Analysis of the implementation of </w:t>
      </w:r>
      <w:proofErr w:type="spellStart"/>
      <w:r w:rsidRPr="00980BB2">
        <w:rPr>
          <w:rFonts w:eastAsia="Calibri"/>
          <w:lang w:eastAsia="en-US"/>
        </w:rPr>
        <w:t>tajweed</w:t>
      </w:r>
      <w:proofErr w:type="spellEnd"/>
      <w:r w:rsidRPr="00980BB2">
        <w:rPr>
          <w:rFonts w:eastAsia="Calibri"/>
          <w:lang w:eastAsia="en-US"/>
        </w:rPr>
        <w:t xml:space="preserve"> learning in TPQ, madrasas, and Islamic boarding schools </w:t>
      </w:r>
      <w:r w:rsidRPr="00980BB2">
        <w:rPr>
          <w:rFonts w:eastAsia="Calibri"/>
          <w:lang w:eastAsia="en-US"/>
        </w:rPr>
        <w:fldChar w:fldCharType="begin" w:fldLock="1"/>
      </w:r>
      <w:r w:rsidRPr="00980BB2">
        <w:rPr>
          <w:rFonts w:eastAsia="Calibri"/>
          <w:lang w:eastAsia="en-US"/>
        </w:rPr>
        <w:instrText>ADDIN CSL_CITATION {"citationItems":[{"id":"ITEM-1","itemData":{"ISSN":"2774-7964","author":[{"dropping-particle":"","family":"Waslah","given":"Waslah","non-dropping-particle":"","parse-names":false,"suffix":""},{"dropping-particle":"","family":"Chotimah","given":"Chusnul","non-dropping-particle":"","parse-names":false,"suffix":""},{"dropping-particle":"","family":"Hasanah","given":"Faridatul","non-dropping-particle":"","parse-names":false,"suffix":""}],"container-title":"Jumat Keagamaan: Jurnal Pengabdian Masyarakat","id":"ITEM-1","issue":"1","issued":{"date-parts":[["2020"]]},"page":"21-24","title":"Pelatihan Pembelajaran Tajwid di TPQ Al Hidayah Desa Brodot Jombang","type":"article-journal","volume":"1"},"uris":["http://www.mendeley.com/documents/?uuid=cd90aed6-9958-43d2-aff4-698e0c9fc981"]}],"mendeley":{"formattedCitation":"(Waslah, Chotimah, and Hasanah 2020)","manualFormatting":"(Waslah, Chotimah, and Hasanah 2020;","plainTextFormattedCitation":"(Waslah, Chotimah, and Hasanah 2020)","previouslyFormattedCitation":"(Waslah, Chotimah, and Hasanah 2020)"},"properties":{"noteIndex":0},"schema":"https://github.com/citation-style-language/schema/raw/master/csl-citation.json"}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(Waslah, Chotimah, and Hasanah 2020;</w:t>
      </w:r>
      <w:r w:rsidRPr="00980BB2">
        <w:rPr>
          <w:rFonts w:eastAsia="Calibri"/>
          <w:lang w:eastAsia="en-US"/>
        </w:rPr>
        <w:fldChar w:fldCharType="end"/>
      </w:r>
      <w:r w:rsidRPr="00980BB2">
        <w:rPr>
          <w:rFonts w:eastAsia="Calibri"/>
          <w:lang w:eastAsia="en-US"/>
        </w:rPr>
        <w:t xml:space="preserve"> </w:t>
      </w:r>
      <w:r w:rsidRPr="00980BB2">
        <w:rPr>
          <w:rFonts w:eastAsia="Calibri"/>
          <w:lang w:eastAsia="en-US"/>
        </w:rPr>
        <w:fldChar w:fldCharType="begin" w:fldLock="1"/>
      </w:r>
      <w:r w:rsidRPr="00980BB2">
        <w:rPr>
          <w:rFonts w:eastAsia="Calibri"/>
          <w:lang w:eastAsia="en-US"/>
        </w:rPr>
        <w:instrText>ADDIN CSL_CITATION {"citationItems":[{"id":"ITEM-1","itemData":{"DOI":"10.18860/jpai.v5i1.6520","ISSN":"2503-300X","author":[{"dropping-particle":"","family":"Kusuma","given":"Yuanda","non-dropping-particle":"","parse-names":false,"suffix":""}],"container-title":"J-PAI: Jurnal Pendidikan Agama Islam","id":"ITEM-1","issue":"1","issued":{"date-parts":[["2018"]]},"page":"46-58","title":"Model-model perkembangan pembelajaran BTQ di TPQ/TPA di Indonesia","type":"article-journal","volume":"5"},"uris":["http://www.mendeley.com/documents/?uuid=e6bce512-c29b-4ecc-bcff-75c4cdcd05f1"]}],"mendeley":{"formattedCitation":"(Kusuma 2018)","manualFormatting":"Kusuma 2018)","plainTextFormattedCitation":"(Kusuma 2018)","previouslyFormattedCitation":"(Kusuma 2018)"},"properties":{"noteIndex":0},"schema":"https://github.com/citation-style-language/schema/raw/master/csl-citation.json"}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Kusuma 2018)</w:t>
      </w:r>
      <w:r w:rsidRPr="00980BB2">
        <w:rPr>
          <w:rFonts w:eastAsia="Calibri"/>
          <w:lang w:eastAsia="en-US"/>
        </w:rPr>
        <w:fldChar w:fldCharType="end"/>
      </w:r>
      <w:r w:rsidRPr="00980BB2">
        <w:rPr>
          <w:rFonts w:eastAsia="Calibri"/>
          <w:lang w:eastAsia="en-US"/>
        </w:rPr>
        <w:t xml:space="preserve">; (2) the realm of methods that examines the </w:t>
      </w:r>
      <w:proofErr w:type="spellStart"/>
      <w:r w:rsidRPr="00980BB2">
        <w:rPr>
          <w:rFonts w:eastAsia="Calibri"/>
          <w:lang w:eastAsia="en-US"/>
        </w:rPr>
        <w:t>iqra</w:t>
      </w:r>
      <w:proofErr w:type="spellEnd"/>
      <w:r>
        <w:rPr>
          <w:rFonts w:eastAsia="Calibri"/>
          <w:lang w:eastAsia="en-US"/>
        </w:rPr>
        <w:t>’</w:t>
      </w:r>
      <w:r w:rsidRPr="00980BB2">
        <w:rPr>
          <w:rFonts w:eastAsia="Calibri"/>
          <w:lang w:eastAsia="en-US"/>
        </w:rPr>
        <w:t xml:space="preserve">, ummi, </w:t>
      </w:r>
      <w:proofErr w:type="spellStart"/>
      <w:r w:rsidRPr="00980BB2">
        <w:rPr>
          <w:rFonts w:eastAsia="Calibri"/>
          <w:lang w:eastAsia="en-US"/>
        </w:rPr>
        <w:t>qira</w:t>
      </w:r>
      <w:r>
        <w:rPr>
          <w:rFonts w:eastAsia="Calibri"/>
          <w:lang w:eastAsia="en-US"/>
        </w:rPr>
        <w:t>’</w:t>
      </w:r>
      <w:r w:rsidRPr="00980BB2">
        <w:rPr>
          <w:rFonts w:eastAsia="Calibri"/>
          <w:lang w:eastAsia="en-US"/>
        </w:rPr>
        <w:t>ati</w:t>
      </w:r>
      <w:proofErr w:type="spellEnd"/>
      <w:r w:rsidRPr="00980BB2">
        <w:rPr>
          <w:rFonts w:eastAsia="Calibri"/>
          <w:lang w:eastAsia="en-US"/>
        </w:rPr>
        <w:t xml:space="preserve">, </w:t>
      </w:r>
      <w:proofErr w:type="spellStart"/>
      <w:r w:rsidRPr="00980BB2">
        <w:rPr>
          <w:rFonts w:eastAsia="Calibri"/>
          <w:lang w:eastAsia="en-US"/>
        </w:rPr>
        <w:t>tartil</w:t>
      </w:r>
      <w:proofErr w:type="spellEnd"/>
      <w:r w:rsidRPr="00980BB2">
        <w:rPr>
          <w:rFonts w:eastAsia="Calibri"/>
          <w:lang w:eastAsia="en-US"/>
        </w:rPr>
        <w:t xml:space="preserve">, </w:t>
      </w:r>
      <w:proofErr w:type="spellStart"/>
      <w:r w:rsidRPr="00980BB2">
        <w:rPr>
          <w:rFonts w:eastAsia="Calibri"/>
          <w:lang w:eastAsia="en-US"/>
        </w:rPr>
        <w:t>yanbu</w:t>
      </w:r>
      <w:r>
        <w:rPr>
          <w:rFonts w:eastAsia="Calibri"/>
          <w:lang w:eastAsia="en-US"/>
        </w:rPr>
        <w:t>’</w:t>
      </w:r>
      <w:r w:rsidRPr="00980BB2">
        <w:rPr>
          <w:rFonts w:eastAsia="Calibri"/>
          <w:lang w:eastAsia="en-US"/>
        </w:rPr>
        <w:t>a</w:t>
      </w:r>
      <w:proofErr w:type="spellEnd"/>
      <w:r w:rsidRPr="00980BB2">
        <w:rPr>
          <w:rFonts w:eastAsia="Calibri"/>
          <w:lang w:eastAsia="en-US"/>
        </w:rPr>
        <w:t>, al-</w:t>
      </w:r>
      <w:proofErr w:type="spellStart"/>
      <w:r w:rsidRPr="00980BB2">
        <w:rPr>
          <w:rFonts w:eastAsia="Calibri"/>
          <w:lang w:eastAsia="en-US"/>
        </w:rPr>
        <w:t>nahdliyah</w:t>
      </w:r>
      <w:proofErr w:type="spellEnd"/>
      <w:r w:rsidRPr="00980BB2">
        <w:rPr>
          <w:rFonts w:eastAsia="Calibri"/>
          <w:lang w:eastAsia="en-US"/>
        </w:rPr>
        <w:t>, and al-</w:t>
      </w:r>
      <w:proofErr w:type="spellStart"/>
      <w:r w:rsidRPr="00980BB2">
        <w:rPr>
          <w:rFonts w:eastAsia="Calibri"/>
          <w:lang w:eastAsia="en-US"/>
        </w:rPr>
        <w:t>barqy</w:t>
      </w:r>
      <w:proofErr w:type="spellEnd"/>
      <w:r w:rsidRPr="00980BB2">
        <w:rPr>
          <w:rFonts w:eastAsia="Calibri"/>
          <w:lang w:eastAsia="en-US"/>
        </w:rPr>
        <w:t xml:space="preserve"> methods </w:t>
      </w:r>
      <w:r w:rsidRPr="00980BB2">
        <w:rPr>
          <w:rFonts w:eastAsia="Calibri"/>
          <w:lang w:eastAsia="en-US"/>
        </w:rPr>
        <w:fldChar w:fldCharType="begin" w:fldLock="1"/>
      </w:r>
      <w:r w:rsidRPr="00980BB2">
        <w:rPr>
          <w:rFonts w:eastAsia="Calibri"/>
          <w:lang w:eastAsia="en-US"/>
        </w:rPr>
        <w:instrText>ADDIN CSL_CITATION {"citationItems":[{"id":"ITEM-1","itemData":{"ISSN":"2621-0460","author":[{"dropping-particle":"","family":"Fitriyah","given":"Siti Lailatul","non-dropping-particle":"","parse-names":false,"suffix":""},{"dropping-particle":"","family":"Aisyah","given":"Nur","non-dropping-particle":"","parse-names":false,"suffix":""}],"container-title":"TA'LIM: Jurnal Studi Pendidikan Islam","id":"ITEM-1","issue":"1","issued":{"date-parts":[["2021"]]},"page":"22-41","title":"Penerapan Metode Yanbu’a Dalam Meningkatkan Kemampuan Membaca Al-Qur’an Anak Didik Tpq Al-Azhar Prenduan Kepanjen Jember","type":"article-journal","volume":"4"},"uris":["http://www.mendeley.com/documents/?uuid=d07a255c-f931-471f-a6d0-ec9a2a925ef3"]}],"mendeley":{"formattedCitation":"(Fitriyah and Aisyah 2021)","manualFormatting":"(Fitriyah and Aisyah 2021;","plainTextFormattedCitation":"(Fitriyah and Aisyah 2021)","previouslyFormattedCitation":"(Fitriyah and Aisyah 2021)"},"properties":{"noteIndex":0},"schema":"https://github.com/citation-style-language/schema/raw/master/csl-citation.json"}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(Fitriyah and Aisyah 2021;</w:t>
      </w:r>
      <w:r w:rsidRPr="00980BB2">
        <w:rPr>
          <w:rFonts w:eastAsia="Calibri"/>
          <w:lang w:eastAsia="en-US"/>
        </w:rPr>
        <w:fldChar w:fldCharType="end"/>
      </w:r>
      <w:r w:rsidRPr="00980BB2">
        <w:rPr>
          <w:rFonts w:eastAsia="Calibri"/>
          <w:lang w:eastAsia="en-US"/>
        </w:rPr>
        <w:t xml:space="preserve"> </w:t>
      </w:r>
      <w:r w:rsidRPr="00980BB2">
        <w:rPr>
          <w:rFonts w:eastAsia="Calibri"/>
          <w:lang w:eastAsia="en-US"/>
        </w:rPr>
        <w:fldChar w:fldCharType="begin" w:fldLock="1"/>
      </w:r>
      <w:r w:rsidRPr="00980BB2">
        <w:rPr>
          <w:rFonts w:eastAsia="Calibri"/>
          <w:lang w:eastAsia="en-US"/>
        </w:rPr>
        <w:instrText>ADDIN CSL_CITATION {"citationItems":[{"id":"ITEM-1","itemData":{"author":[{"dropping-particle":"","family":"Qiftia","given":"Mariatul","non-dropping-particle":"","parse-names":false,"suffix":""}],"container-title":"Alphateach (Jurnal Profesi Kependidikan dan Keguruan)","id":"ITEM-1","issue":"2","issued":{"date-parts":[["2021"]]},"page":"1-9","title":"Implementasi Pembelajaran Ilmu Tajwid Dengan Metode Iqra’di Pondok Pesantren Tahfidzul Qur’an Al-Asy’ariyyah Kalibeber Mojotengah Wonosobo","type":"article-journal","volume":"1"},"uris":["http://www.mendeley.com/documents/?uuid=1f56d060-41e0-446c-adf7-cb5081128065"]}],"mendeley":{"formattedCitation":"(Qiftia 2021)","manualFormatting":"Qiftia 2021;","plainTextFormattedCitation":"(Qiftia 2021)","previouslyFormattedCitation":"(Qiftia 2021)"},"properties":{"noteIndex":0},"schema":"https://github.com/citation-style-language/schema/raw/master/csl-citation.json"}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Qiftia 2021;</w:t>
      </w:r>
      <w:r w:rsidRPr="00980BB2">
        <w:rPr>
          <w:rFonts w:eastAsia="Calibri"/>
          <w:lang w:eastAsia="en-US"/>
        </w:rPr>
        <w:fldChar w:fldCharType="end"/>
      </w:r>
      <w:r w:rsidRPr="00980BB2">
        <w:rPr>
          <w:rFonts w:eastAsia="Calibri"/>
          <w:lang w:eastAsia="en-US"/>
        </w:rPr>
        <w:t xml:space="preserve"> </w:t>
      </w:r>
      <w:r w:rsidRPr="00980BB2">
        <w:rPr>
          <w:rFonts w:eastAsia="Calibri"/>
          <w:lang w:eastAsia="en-US"/>
        </w:rPr>
        <w:fldChar w:fldCharType="begin" w:fldLock="1"/>
      </w:r>
      <w:r w:rsidRPr="00980BB2">
        <w:rPr>
          <w:rFonts w:eastAsia="Calibri"/>
          <w:lang w:eastAsia="en-US"/>
        </w:rPr>
        <w:instrText>ADDIN CSL_CITATION {"citationItems":[{"id":"ITEM-1","itemData":{"DOI":"10.24036/annuha.v1i4.131","ISSN":"2775-7617","author":[{"dropping-particle":"","family":"Ainun","given":"Nur","non-dropping-particle":"","parse-names":false,"suffix":""},{"dropping-particle":"","family":"Kosasih","given":"Ahmad","non-dropping-particle":"","parse-names":false,"suffix":""}],"container-title":"An-Nuha","id":"ITEM-1","issue":"4","issued":{"date-parts":[["2021"]]},"page":"566-572","title":"Implementasi Metode Qira’ati dalam Pembelajaran Ilmu Tajwid","type":"article-journal","volume":"1"},"uris":["http://www.mendeley.com/documents/?uuid=c1a8d419-9969-49b5-b621-0c38ba55e7d4"]}],"mendeley":{"formattedCitation":"(Ainun and Kosasih 2021)","manualFormatting":"Ainun and Kosasih 2021;","plainTextFormattedCitation":"(Ainun and Kosasih 2021)","previouslyFormattedCitation":"(Ainun and Kosasih 2021)"},"properties":{"noteIndex":0},"schema":"https://github.com/citation-style-language/schema/raw/master/csl-citation.json"}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Ainun and Kosasih 2021;</w:t>
      </w:r>
      <w:r w:rsidRPr="00980BB2">
        <w:rPr>
          <w:rFonts w:eastAsia="Calibri"/>
          <w:lang w:eastAsia="en-US"/>
        </w:rPr>
        <w:fldChar w:fldCharType="end"/>
      </w:r>
      <w:r w:rsidRPr="00980BB2">
        <w:rPr>
          <w:rFonts w:eastAsia="Calibri"/>
          <w:lang w:eastAsia="en-US"/>
        </w:rPr>
        <w:t xml:space="preserve"> </w:t>
      </w:r>
      <w:r w:rsidRPr="00980BB2">
        <w:rPr>
          <w:rFonts w:eastAsia="Calibri"/>
          <w:lang w:eastAsia="en-US"/>
        </w:rPr>
        <w:fldChar w:fldCharType="begin" w:fldLock="1"/>
      </w:r>
      <w:r w:rsidRPr="00980BB2">
        <w:rPr>
          <w:rFonts w:eastAsia="Calibri"/>
          <w:lang w:eastAsia="en-US"/>
        </w:rPr>
        <w:instrText>ADDIN CSL_CITATION {"citationItems":[{"id":"ITEM-1","itemData":{"DOI":"10.36835/al-fikrah.v4i1.110","ISSN":"2620-4304","author":[{"dropping-particle":"","family":"Nobisa","given":"Junaidin","non-dropping-particle":"","parse-names":false,"suffix":""}],"container-title":"AL-FIKRAH: Jurnal Studi Ilmu Pendidikan Dan Keislaman","id":"ITEM-1","issue":"1","issued":{"date-parts":[["2021"]]},"page":"44-70","title":"Pengunaan Metode Ummi dalam Pembelajaran Al-Qur’an","type":"article-journal","volume":"4"},"uris":["http://www.mendeley.com/documents/?uuid=38218c74-ee8f-4b6f-9121-1d51409edb8a"]}],"mendeley":{"formattedCitation":"(Nobisa 2021)","manualFormatting":"Nobisa 2021)","plainTextFormattedCitation":"(Nobisa 2021)","previouslyFormattedCitation":"(Nobisa 2021)"},"properties":{"noteIndex":0},"schema":"https://github.com/citation-style-language/schema/raw/master/csl-citation.json"}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Nobisa 2021)</w:t>
      </w:r>
      <w:r w:rsidRPr="00980BB2">
        <w:rPr>
          <w:rFonts w:eastAsia="Calibri"/>
          <w:lang w:eastAsia="en-US"/>
        </w:rPr>
        <w:fldChar w:fldCharType="end"/>
      </w:r>
      <w:r w:rsidRPr="00980BB2">
        <w:rPr>
          <w:rFonts w:eastAsia="Calibri"/>
          <w:lang w:eastAsia="en-US"/>
        </w:rPr>
        <w:t xml:space="preserve">; (3) the realm of media examines the development of print media, Android-based media, and rotary </w:t>
      </w:r>
      <w:proofErr w:type="spellStart"/>
      <w:r w:rsidRPr="00980BB2">
        <w:rPr>
          <w:rFonts w:eastAsia="Calibri"/>
          <w:lang w:eastAsia="en-US"/>
        </w:rPr>
        <w:t>tajweed</w:t>
      </w:r>
      <w:proofErr w:type="spellEnd"/>
      <w:r w:rsidRPr="00980BB2">
        <w:rPr>
          <w:rFonts w:eastAsia="Calibri"/>
          <w:lang w:eastAsia="en-US"/>
        </w:rPr>
        <w:t xml:space="preserve"> media </w:t>
      </w:r>
      <w:r w:rsidRPr="00980BB2">
        <w:rPr>
          <w:rFonts w:eastAsia="Calibri"/>
          <w:lang w:eastAsia="en-US"/>
        </w:rPr>
        <w:fldChar w:fldCharType="begin" w:fldLock="1"/>
      </w:r>
      <w:r w:rsidRPr="00980BB2">
        <w:rPr>
          <w:rFonts w:eastAsia="Calibri"/>
          <w:lang w:eastAsia="en-US"/>
        </w:rPr>
        <w:instrText>ADDIN CSL_CITATION {"citationItems":[{"id":"ITEM-1","itemData":{"author":[{"dropping-particle":"","family":"Istiqomah","given":"Nur","non-dropping-particle":"","parse-names":false,"suffix":""}],"id":"ITEM-1","issued":{"date-parts":[["2022"]]},"publisher":"UIN SMH BANTEN","publisher-place":"Tesis. Banten","title":"Media Cetak Pembelajaran Tajwid Putar dalam Meningkatkan Kemampuan Membaca Al-Qur’an pada Mata Pelajaran Pendidikan Agama Islam di SMKN 4 Kota Serang","type":"article"},"uris":["http://www.mendeley.com/documents/?uuid=98001b51-a45a-4c68-a274-562b8880e652"]}],"mendeley":{"formattedCitation":"(Istiqomah 2022)","manualFormatting":"(Istiqomah 2022;","plainTextFormattedCitation":"(Istiqomah 2022)","previouslyFormattedCitation":"(Istiqomah 2022)"},"properties":{"noteIndex":0},"schema":"https://github.com/citation-style-language/schema/raw/master/csl-citation.json"}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(Istiqomah 2022;</w:t>
      </w:r>
      <w:r w:rsidRPr="00980BB2">
        <w:rPr>
          <w:rFonts w:eastAsia="Calibri"/>
          <w:lang w:eastAsia="en-US"/>
        </w:rPr>
        <w:fldChar w:fldCharType="end"/>
      </w:r>
      <w:r w:rsidRPr="00980BB2">
        <w:rPr>
          <w:rFonts w:eastAsia="Calibri"/>
          <w:lang w:eastAsia="en-US"/>
        </w:rPr>
        <w:t xml:space="preserve"> </w:t>
      </w:r>
      <w:r w:rsidRPr="00980BB2">
        <w:rPr>
          <w:rFonts w:eastAsia="Calibri"/>
          <w:lang w:eastAsia="en-US"/>
        </w:rPr>
        <w:fldChar w:fldCharType="begin" w:fldLock="1"/>
      </w:r>
      <w:r w:rsidRPr="00980BB2">
        <w:rPr>
          <w:rFonts w:eastAsia="Calibri"/>
          <w:lang w:eastAsia="en-US"/>
        </w:rPr>
        <w:instrText>ADDIN CSL_CITATION {"citationItems":[{"id":"ITEM-1","itemData":{"DOI":"10.31004/basicedu.v6i2.2280","ISSN":"2580-1147","author":[{"dropping-particle":"","family":"Maulana","given":"Muhammad Ryan","non-dropping-particle":"","parse-names":false,"suffix":""},{"dropping-particle":"","family":"Nasir","given":"Muhammad","non-dropping-particle":"","parse-names":false,"suffix":""}],"container-title":"Jurnal Basicedu","id":"ITEM-1","issue":"2","issued":{"date-parts":[["2022"]]},"page":"1756-1765","publisher":"Universitas Pahlawan Tuanku Tambusai","title":"Pengembangan Media Interaktif Berbasis Aplikasi Android pada Pembelajaran Ilmu Tahsin dan Tajwid","type":"article-journal","volume":"6"},"uris":["http://www.mendeley.com/documents/?uuid=dc17a6a9-ebed-435a-8f9b-465a674382bf"]}],"mendeley":{"formattedCitation":"(Maulana and Nasir 2022)","manualFormatting":"Maulana and Nasir 2022;","plainTextFormattedCitation":"(Maulana and Nasir 2022)","previouslyFormattedCitation":"(Maulana and Nasir 2022)"},"properties":{"noteIndex":0},"schema":"https://github.com/citation-style-language/schema/raw/master/csl-citation.json"}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Maulana and Nasir 2022;</w:t>
      </w:r>
      <w:r w:rsidRPr="00980BB2">
        <w:rPr>
          <w:rFonts w:eastAsia="Calibri"/>
          <w:lang w:eastAsia="en-US"/>
        </w:rPr>
        <w:fldChar w:fldCharType="end"/>
      </w:r>
      <w:r w:rsidRPr="00980BB2">
        <w:rPr>
          <w:rFonts w:eastAsia="Calibri"/>
          <w:lang w:eastAsia="en-US"/>
        </w:rPr>
        <w:t xml:space="preserve"> </w:t>
      </w:r>
      <w:r w:rsidRPr="00980BB2">
        <w:rPr>
          <w:rFonts w:eastAsia="Calibri"/>
          <w:lang w:eastAsia="en-US"/>
        </w:rPr>
        <w:fldChar w:fldCharType="begin" w:fldLock="1"/>
      </w:r>
      <w:r w:rsidRPr="00980BB2">
        <w:rPr>
          <w:rFonts w:eastAsia="Calibri"/>
          <w:lang w:eastAsia="en-US"/>
        </w:rPr>
        <w:instrText>ADDIN CSL_CITATION {"citationItems":[{"id":"ITEM-1","itemData":{"DOI":"10.32528/tarlim.v3i2.3479","ISSN":"2621-847X","author":[{"dropping-particle":"","family":"Fadlilah","given":"Yesi","non-dropping-particle":"","parse-names":false,"suffix":""},{"dropping-particle":"","family":"Abidin","given":"Zainal","non-dropping-particle":"","parse-names":false,"suffix":""}],"container-title":"Tarlim: Jurnal Pendidikan Agama Islam","id":"ITEM-1","issue":"2","issued":{"date-parts":[["2020"]]},"page":"147-157","title":"Implementasi Media Tajwid Putar dalam Pembelajaran Ilmu Tajwid","type":"article-journal","volume":"3"},"uris":["http://www.mendeley.com/documents/?uuid=7dfe2c90-404d-411f-ab9e-abeab000cdd7"]}],"mendeley":{"formattedCitation":"(Fadlilah and Abidin 2020)","manualFormatting":"Fadlilah and Abidin 2020)","plainTextFormattedCitation":"(Fadlilah and Abidin 2020)","previouslyFormattedCitation":"(Fadlilah and Abidin 2020)"},"properties":{"noteIndex":0},"schema":"https://github.com/citation-style-language/schema/raw/master/csl-citation.json"}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Fadlilah and Abidin 2020)</w:t>
      </w:r>
      <w:r w:rsidRPr="00980BB2">
        <w:rPr>
          <w:rFonts w:eastAsia="Calibri"/>
          <w:lang w:eastAsia="en-US"/>
        </w:rPr>
        <w:fldChar w:fldCharType="end"/>
      </w:r>
      <w:r w:rsidRPr="00980BB2">
        <w:rPr>
          <w:rFonts w:eastAsia="Calibri"/>
          <w:lang w:eastAsia="en-US"/>
        </w:rPr>
        <w:t xml:space="preserve">; (4) there is indeed research on managing </w:t>
      </w:r>
      <w:proofErr w:type="spellStart"/>
      <w:r w:rsidRPr="00980BB2">
        <w:rPr>
          <w:rFonts w:eastAsia="Calibri"/>
          <w:lang w:eastAsia="en-US"/>
        </w:rPr>
        <w:t>tajweed</w:t>
      </w:r>
      <w:proofErr w:type="spellEnd"/>
      <w:r w:rsidRPr="00980BB2">
        <w:rPr>
          <w:rFonts w:eastAsia="Calibri"/>
          <w:lang w:eastAsia="en-US"/>
        </w:rPr>
        <w:t xml:space="preserve"> learning based on audio-visual media using R&amp;D methods, but measuring the suitability of audio-visual media is not based on improving learning outcomes only </w:t>
      </w:r>
      <w:r w:rsidRPr="00980BB2">
        <w:rPr>
          <w:rFonts w:eastAsia="Calibri"/>
          <w:lang w:eastAsia="en-US"/>
        </w:rPr>
        <w:fldChar w:fldCharType="begin" w:fldLock="1"/>
      </w:r>
      <w:r w:rsidRPr="00980BB2">
        <w:rPr>
          <w:rFonts w:eastAsia="Calibri"/>
          <w:lang w:eastAsia="en-US"/>
        </w:rPr>
        <w:instrText>ADDIN CSL_CITATION {"citationItems":[{"id":"ITEM-1","itemData":{"DOI":"10.35568/naturalistic.v5i2.1180","ISSN":"2548-8589","author":[{"dropping-particle":"","family":"Hambali","given":"Hambali","non-dropping-particle":"","parse-names":false,"suffix":""},{"dropping-particle":"","family":"Rozi","given":"Fathor","non-dropping-particle":"","parse-names":false,"suffix":""},{"dropping-particle":"","family":"Farida","given":"Nor","non-dropping-particle":"","parse-names":false,"suffix":""}],"container-title":"Naturalistic: Jurnal Kajian dan Penelitian Pendidikan dan Pembelajaran","id":"ITEM-1","issue":"2","issued":{"date-parts":[["2021"]]},"page":"872-881","title":"Pengelolaan Pembelajaran Ilmu Tajwid Melalui Media Audio Visual","type":"article-journal","volume":"5"},"uris":["http://www.mendeley.com/documents/?uuid=82cbfd54-bb38-4827-b4d4-45ca796e6a2a"]}],"mendeley":{"formattedCitation":"(Hambali, Rozi, and Farida 2021)","plainTextFormattedCitation":"(Hambali, Rozi, and Farida 2021)","previouslyFormattedCitation":"(Hambali, Rozi, and Farida 2021)"},"properties":{"noteIndex":0},"schema":"https://github.com/citation-style-language/schema/raw/master/csl-citation.json"}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(Hambali, Rozi, and Farida 2021)</w:t>
      </w:r>
      <w:r w:rsidRPr="00980BB2">
        <w:rPr>
          <w:rFonts w:eastAsia="Calibri"/>
          <w:lang w:eastAsia="en-US"/>
        </w:rPr>
        <w:fldChar w:fldCharType="end"/>
      </w:r>
      <w:r w:rsidRPr="00980BB2">
        <w:rPr>
          <w:rFonts w:eastAsia="Calibri"/>
          <w:lang w:eastAsia="en-US"/>
        </w:rPr>
        <w:t>. This shows that there has been no research that specifically examines the influence of the use of audio-visual media on the Tajweed learning outcomes of Islamic boarding school students.</w:t>
      </w:r>
    </w:p>
    <w:p w14:paraId="514C8903" w14:textId="77777777" w:rsidR="00980BB2" w:rsidRPr="00980BB2" w:rsidRDefault="00980BB2" w:rsidP="00980BB2">
      <w:pPr>
        <w:suppressAutoHyphens w:val="0"/>
        <w:spacing w:line="276" w:lineRule="auto"/>
        <w:ind w:firstLine="720"/>
        <w:jc w:val="both"/>
        <w:rPr>
          <w:rFonts w:eastAsia="Calibri"/>
          <w:lang w:eastAsia="en-US"/>
        </w:rPr>
      </w:pPr>
      <w:r w:rsidRPr="00980BB2">
        <w:rPr>
          <w:rFonts w:eastAsia="Calibri"/>
          <w:lang w:eastAsia="en-US"/>
        </w:rPr>
        <w:t xml:space="preserve">This research aims to (1) analyze the use of audio-visual media in learning </w:t>
      </w:r>
      <w:proofErr w:type="spellStart"/>
      <w:r w:rsidRPr="00980BB2">
        <w:rPr>
          <w:rFonts w:eastAsia="Calibri"/>
          <w:lang w:eastAsia="en-US"/>
        </w:rPr>
        <w:t>tajweed</w:t>
      </w:r>
      <w:proofErr w:type="spellEnd"/>
      <w:r w:rsidRPr="00980BB2">
        <w:rPr>
          <w:rFonts w:eastAsia="Calibri"/>
          <w:lang w:eastAsia="en-US"/>
        </w:rPr>
        <w:t xml:space="preserve">; (2) describe the improvement in </w:t>
      </w:r>
      <w:proofErr w:type="spellStart"/>
      <w:r w:rsidRPr="00980BB2">
        <w:rPr>
          <w:rFonts w:eastAsia="Calibri"/>
          <w:lang w:eastAsia="en-US"/>
        </w:rPr>
        <w:t>tajweed</w:t>
      </w:r>
      <w:proofErr w:type="spellEnd"/>
      <w:r w:rsidRPr="00980BB2">
        <w:rPr>
          <w:rFonts w:eastAsia="Calibri"/>
          <w:lang w:eastAsia="en-US"/>
        </w:rPr>
        <w:t xml:space="preserve"> learning outcomes of students; and (3) test the effect of using audio-visual media on improving the </w:t>
      </w:r>
      <w:proofErr w:type="spellStart"/>
      <w:r w:rsidRPr="00980BB2">
        <w:rPr>
          <w:rFonts w:eastAsia="Calibri"/>
          <w:lang w:eastAsia="en-US"/>
        </w:rPr>
        <w:t>tajweed</w:t>
      </w:r>
      <w:proofErr w:type="spellEnd"/>
      <w:r w:rsidRPr="00980BB2">
        <w:rPr>
          <w:rFonts w:eastAsia="Calibri"/>
          <w:lang w:eastAsia="en-US"/>
        </w:rPr>
        <w:t xml:space="preserve"> learning outcomes of students. This research is very important because it not only looks at the influence of learning media on improving student learning outcomes but also shows the success of innovative and creative efforts of Islamic education teachers in creating audio-visual media for learning </w:t>
      </w:r>
      <w:proofErr w:type="spellStart"/>
      <w:r w:rsidRPr="00980BB2">
        <w:rPr>
          <w:rFonts w:eastAsia="Calibri"/>
          <w:lang w:eastAsia="en-US"/>
        </w:rPr>
        <w:t>tajweed</w:t>
      </w:r>
      <w:proofErr w:type="spellEnd"/>
      <w:r w:rsidRPr="00980BB2">
        <w:rPr>
          <w:rFonts w:eastAsia="Calibri"/>
          <w:lang w:eastAsia="en-US"/>
        </w:rPr>
        <w:t>.</w:t>
      </w:r>
    </w:p>
    <w:p w14:paraId="00310652" w14:textId="77777777" w:rsidR="00980BB2" w:rsidRPr="00980BB2" w:rsidRDefault="00980BB2" w:rsidP="00980BB2">
      <w:pPr>
        <w:tabs>
          <w:tab w:val="left" w:pos="426"/>
        </w:tabs>
        <w:suppressAutoHyphens w:val="0"/>
        <w:ind w:right="-3"/>
        <w:jc w:val="both"/>
        <w:rPr>
          <w:rFonts w:eastAsia="Calibri"/>
          <w:b/>
          <w:bCs/>
          <w:iCs/>
          <w:lang w:val="id-ID" w:eastAsia="en-US"/>
        </w:rPr>
      </w:pPr>
    </w:p>
    <w:p w14:paraId="73CC1D2D" w14:textId="77777777" w:rsidR="00980BB2" w:rsidRPr="00980BB2" w:rsidRDefault="00980BB2" w:rsidP="00980BB2">
      <w:pPr>
        <w:suppressAutoHyphens w:val="0"/>
        <w:spacing w:after="60" w:line="276" w:lineRule="auto"/>
        <w:jc w:val="both"/>
        <w:rPr>
          <w:rFonts w:eastAsia="Calibri"/>
          <w:b/>
          <w:bCs/>
          <w:iCs/>
          <w:lang w:val="id-ID" w:eastAsia="en-US"/>
        </w:rPr>
      </w:pPr>
      <w:r w:rsidRPr="00980BB2">
        <w:rPr>
          <w:rFonts w:eastAsia="Calibri"/>
          <w:b/>
          <w:bCs/>
          <w:lang w:val="id-ID" w:eastAsia="en-US"/>
        </w:rPr>
        <w:t>METHODS</w:t>
      </w:r>
    </w:p>
    <w:p w14:paraId="788839B0" w14:textId="77777777" w:rsidR="00980BB2" w:rsidRPr="00980BB2" w:rsidRDefault="00980BB2" w:rsidP="00980BB2">
      <w:pPr>
        <w:suppressAutoHyphens w:val="0"/>
        <w:spacing w:line="276" w:lineRule="auto"/>
        <w:ind w:firstLine="720"/>
        <w:jc w:val="both"/>
        <w:rPr>
          <w:rFonts w:eastAsia="Calibri"/>
          <w:lang w:val="id-ID" w:eastAsia="en-US"/>
        </w:rPr>
      </w:pPr>
      <w:r w:rsidRPr="00980BB2">
        <w:rPr>
          <w:rFonts w:eastAsia="Calibri"/>
          <w:lang w:val="id-ID" w:eastAsia="en-US"/>
        </w:rPr>
        <w:t xml:space="preserve">This type of research is experimental research with a qualitative approach. Experimental research was chosen because the researcher will experiment with the application of audio-visual media in tajweed learning </w:t>
      </w:r>
      <w:r w:rsidRPr="00980BB2">
        <w:rPr>
          <w:rFonts w:eastAsia="Calibri"/>
          <w:lang w:val="id-ID" w:eastAsia="en-US"/>
        </w:rPr>
        <w:fldChar w:fldCharType="begin" w:fldLock="1"/>
      </w:r>
      <w:r w:rsidRPr="00980BB2">
        <w:rPr>
          <w:rFonts w:eastAsia="Calibri"/>
          <w:lang w:val="id-ID" w:eastAsia="en-US"/>
        </w:rPr>
        <w:instrText>ADDIN CSL_CITATION {"citationItems":[{"id":"ITEM-1","itemData":{"author":[{"dropping-particle":"","family":"Trianto","given":"Trianto","non-dropping-particle":"","parse-names":false,"suffix":""}],"id":"ITEM-1","issued":{"date-parts":[["2017"]]},"publisher":"Kencana Prenada Media Group","publisher-place":"Jakarta","title":"Pengantar Penelitian Pendidikan Bagi Pengembangan Profesi Pendidik dan Tenaga Kependidikan","type":"book"},"uris":["http://www.mendeley.com/documents/?uuid=edb68d2d-eae7-49b2-9cd4-98299b080deb"]}],"mendeley":{"formattedCitation":"(Trianto 2017)","plainTextFormattedCitation":"(Trianto 2017)","previouslyFormattedCitation":"(Trianto 2017)"},"properties":{"noteIndex":0},"schema":"https://github.com/citation-style-language/schema/raw/master/csl-citation.json"}</w:instrText>
      </w:r>
      <w:r w:rsidRPr="00980BB2">
        <w:rPr>
          <w:rFonts w:eastAsia="Calibri"/>
          <w:lang w:val="id-ID" w:eastAsia="en-US"/>
        </w:rPr>
        <w:fldChar w:fldCharType="separate"/>
      </w:r>
      <w:r w:rsidRPr="00980BB2">
        <w:rPr>
          <w:rFonts w:eastAsia="Calibri"/>
          <w:noProof/>
          <w:lang w:val="id-ID" w:eastAsia="en-US"/>
        </w:rPr>
        <w:t>(Trianto 2017)</w:t>
      </w:r>
      <w:r w:rsidRPr="00980BB2">
        <w:rPr>
          <w:rFonts w:eastAsia="Calibri"/>
          <w:lang w:val="id-ID" w:eastAsia="en-US"/>
        </w:rPr>
        <w:fldChar w:fldCharType="end"/>
      </w:r>
      <w:r w:rsidRPr="00980BB2">
        <w:rPr>
          <w:rFonts w:eastAsia="Calibri"/>
          <w:lang w:val="id-ID" w:eastAsia="en-US"/>
        </w:rPr>
        <w:t xml:space="preserve">. The quantitative approach chosen by this research seeks to obtain objective, valid, and reliable data in the form of statistical figures related to the </w:t>
      </w:r>
      <w:r w:rsidRPr="00980BB2">
        <w:rPr>
          <w:rFonts w:eastAsia="Calibri"/>
          <w:lang w:val="id-ID" w:eastAsia="en-US"/>
        </w:rPr>
        <w:lastRenderedPageBreak/>
        <w:t xml:space="preserve">application of audio-visual media in tajweed learning and its influence on students’ tajweed learning outcomes </w:t>
      </w:r>
      <w:r w:rsidRPr="00980BB2">
        <w:rPr>
          <w:rFonts w:eastAsia="Calibri"/>
          <w:lang w:val="id-ID" w:eastAsia="en-US"/>
        </w:rPr>
        <w:fldChar w:fldCharType="begin" w:fldLock="1"/>
      </w:r>
      <w:r w:rsidRPr="00980BB2">
        <w:rPr>
          <w:rFonts w:eastAsia="Calibri"/>
          <w:lang w:val="id-ID" w:eastAsia="en-US"/>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sidRPr="00980BB2">
        <w:rPr>
          <w:rFonts w:eastAsia="Calibri"/>
          <w:lang w:val="id-ID" w:eastAsia="en-US"/>
        </w:rPr>
        <w:fldChar w:fldCharType="separate"/>
      </w:r>
      <w:r w:rsidRPr="00980BB2">
        <w:rPr>
          <w:rFonts w:eastAsia="Calibri"/>
          <w:noProof/>
          <w:lang w:val="id-ID" w:eastAsia="en-US"/>
        </w:rPr>
        <w:t>(Sugiyono 2017)</w:t>
      </w:r>
      <w:r w:rsidRPr="00980BB2">
        <w:rPr>
          <w:rFonts w:eastAsia="Calibri"/>
          <w:lang w:val="id-ID" w:eastAsia="en-US"/>
        </w:rPr>
        <w:fldChar w:fldCharType="end"/>
      </w:r>
      <w:r w:rsidRPr="00980BB2">
        <w:rPr>
          <w:rFonts w:eastAsia="Calibri"/>
          <w:lang w:val="id-ID" w:eastAsia="en-US"/>
        </w:rPr>
        <w:t>.</w:t>
      </w:r>
    </w:p>
    <w:p w14:paraId="1D1A0435" w14:textId="77777777" w:rsidR="00980BB2" w:rsidRPr="00980BB2" w:rsidRDefault="00980BB2" w:rsidP="00980BB2">
      <w:pPr>
        <w:suppressAutoHyphens w:val="0"/>
        <w:spacing w:line="276" w:lineRule="auto"/>
        <w:ind w:firstLine="720"/>
        <w:jc w:val="both"/>
        <w:rPr>
          <w:rFonts w:eastAsia="Calibri"/>
          <w:lang w:eastAsia="en-US"/>
        </w:rPr>
      </w:pPr>
      <w:r w:rsidRPr="00980BB2">
        <w:rPr>
          <w:rFonts w:eastAsia="Calibri"/>
          <w:lang w:eastAsia="en-US"/>
        </w:rPr>
        <w:t xml:space="preserve">This research design is a quasi-experimental design. In this research, researchers can control all external variables that influence the course of the experiment. Thus, internal validity can be higher </w:t>
      </w:r>
      <w:r w:rsidRPr="00980BB2">
        <w:rPr>
          <w:rFonts w:eastAsia="Calibri"/>
          <w:lang w:val="id-ID" w:eastAsia="en-US"/>
        </w:rPr>
        <w:fldChar w:fldCharType="begin" w:fldLock="1"/>
      </w:r>
      <w:r w:rsidRPr="00980BB2">
        <w:rPr>
          <w:rFonts w:eastAsia="Calibri"/>
          <w:lang w:val="id-ID" w:eastAsia="en-US"/>
        </w:rPr>
        <w:instrText>ADDIN CSL_CITATION {"citationItems":[{"id":"ITEM-1","itemData":{"author":[{"dropping-particle":"","family":"Trianto","given":"Trianto","non-dropping-particle":"","parse-names":false,"suffix":""}],"id":"ITEM-1","issued":{"date-parts":[["2017"]]},"publisher":"Kencana Prenada Media Group","publisher-place":"Jakarta","title":"Pengantar Penelitian Pendidikan Bagi Pengembangan Profesi Pendidik dan Tenaga Kependidikan","type":"book"},"uris":["http://www.mendeley.com/documents/?uuid=edb68d2d-eae7-49b2-9cd4-98299b080deb"]}],"mendeley":{"formattedCitation":"(Trianto 2017)","plainTextFormattedCitation":"(Trianto 2017)","previouslyFormattedCitation":"(Trianto 2017)"},"properties":{"noteIndex":0},"schema":"https://github.com/citation-style-language/schema/raw/master/csl-citation.json"}</w:instrText>
      </w:r>
      <w:r w:rsidRPr="00980BB2">
        <w:rPr>
          <w:rFonts w:eastAsia="Calibri"/>
          <w:lang w:val="id-ID" w:eastAsia="en-US"/>
        </w:rPr>
        <w:fldChar w:fldCharType="separate"/>
      </w:r>
      <w:r w:rsidRPr="00980BB2">
        <w:rPr>
          <w:rFonts w:eastAsia="Calibri"/>
          <w:noProof/>
          <w:lang w:val="id-ID" w:eastAsia="en-US"/>
        </w:rPr>
        <w:t>(Trianto 2017)</w:t>
      </w:r>
      <w:r w:rsidRPr="00980BB2">
        <w:rPr>
          <w:rFonts w:eastAsia="Calibri"/>
          <w:lang w:val="id-ID" w:eastAsia="en-US"/>
        </w:rPr>
        <w:fldChar w:fldCharType="end"/>
      </w:r>
      <w:r w:rsidRPr="00980BB2">
        <w:rPr>
          <w:rFonts w:eastAsia="Calibri"/>
          <w:lang w:eastAsia="en-US"/>
        </w:rPr>
        <w:t xml:space="preserve">. The characteristics of this research design are that there are samples in the form of an experimental group and a control group. The sample was chosen deliberately with certain considerations or purposive sampling </w:t>
      </w:r>
      <w:r w:rsidRPr="00980BB2">
        <w:rPr>
          <w:rFonts w:eastAsia="Calibri"/>
          <w:lang w:val="id-ID" w:eastAsia="en-US"/>
        </w:rPr>
        <w:fldChar w:fldCharType="begin" w:fldLock="1"/>
      </w:r>
      <w:r w:rsidRPr="00980BB2">
        <w:rPr>
          <w:rFonts w:eastAsia="Calibri"/>
          <w:lang w:val="id-ID" w:eastAsia="en-US"/>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sidRPr="00980BB2">
        <w:rPr>
          <w:rFonts w:eastAsia="Calibri"/>
          <w:lang w:val="id-ID" w:eastAsia="en-US"/>
        </w:rPr>
        <w:fldChar w:fldCharType="separate"/>
      </w:r>
      <w:r w:rsidRPr="00980BB2">
        <w:rPr>
          <w:rFonts w:eastAsia="Calibri"/>
          <w:noProof/>
          <w:lang w:val="id-ID" w:eastAsia="en-US"/>
        </w:rPr>
        <w:t>(Sugiyono 2017)</w:t>
      </w:r>
      <w:r w:rsidRPr="00980BB2">
        <w:rPr>
          <w:rFonts w:eastAsia="Calibri"/>
          <w:lang w:val="id-ID" w:eastAsia="en-US"/>
        </w:rPr>
        <w:fldChar w:fldCharType="end"/>
      </w:r>
      <w:r w:rsidRPr="00980BB2">
        <w:rPr>
          <w:rFonts w:eastAsia="Calibri"/>
          <w:lang w:eastAsia="en-US"/>
        </w:rPr>
        <w:t>.</w:t>
      </w:r>
    </w:p>
    <w:p w14:paraId="0A20350E" w14:textId="60025418" w:rsidR="00980BB2" w:rsidRPr="00980BB2" w:rsidRDefault="00980BB2" w:rsidP="00980BB2">
      <w:pPr>
        <w:suppressAutoHyphens w:val="0"/>
        <w:spacing w:line="276" w:lineRule="auto"/>
        <w:ind w:firstLine="720"/>
        <w:jc w:val="both"/>
        <w:rPr>
          <w:rFonts w:eastAsia="Calibri"/>
          <w:lang w:eastAsia="en-US"/>
        </w:rPr>
      </w:pPr>
      <w:r w:rsidRPr="00980BB2">
        <w:rPr>
          <w:rFonts w:eastAsia="Calibri"/>
          <w:lang w:eastAsia="en-US"/>
        </w:rPr>
        <w:t xml:space="preserve">The location of this research is </w:t>
      </w:r>
      <w:proofErr w:type="spellStart"/>
      <w:r w:rsidRPr="00980BB2">
        <w:rPr>
          <w:rFonts w:eastAsia="Calibri"/>
          <w:lang w:eastAsia="en-US"/>
        </w:rPr>
        <w:t>Salafiyah</w:t>
      </w:r>
      <w:proofErr w:type="spellEnd"/>
      <w:r w:rsidRPr="00980BB2">
        <w:rPr>
          <w:rFonts w:eastAsia="Calibri"/>
          <w:lang w:eastAsia="en-US"/>
        </w:rPr>
        <w:t xml:space="preserve"> </w:t>
      </w:r>
      <w:proofErr w:type="spellStart"/>
      <w:r w:rsidRPr="00980BB2">
        <w:rPr>
          <w:rFonts w:eastAsia="Calibri"/>
          <w:lang w:eastAsia="en-US"/>
        </w:rPr>
        <w:t>Marhala</w:t>
      </w:r>
      <w:proofErr w:type="spellEnd"/>
      <w:r w:rsidRPr="00980BB2">
        <w:rPr>
          <w:rFonts w:eastAsia="Calibri"/>
          <w:lang w:eastAsia="en-US"/>
        </w:rPr>
        <w:t xml:space="preserve"> Ulya, </w:t>
      </w:r>
      <w:proofErr w:type="spellStart"/>
      <w:r w:rsidRPr="00980BB2">
        <w:rPr>
          <w:rFonts w:eastAsia="Calibri"/>
          <w:lang w:eastAsia="en-US"/>
        </w:rPr>
        <w:t>Tahfidzul</w:t>
      </w:r>
      <w:proofErr w:type="spellEnd"/>
      <w:r w:rsidRPr="00980BB2">
        <w:rPr>
          <w:rFonts w:eastAsia="Calibri"/>
          <w:lang w:eastAsia="en-US"/>
        </w:rPr>
        <w:t xml:space="preserve"> Qur</w:t>
      </w:r>
      <w:r w:rsidR="00626DF2">
        <w:rPr>
          <w:rFonts w:eastAsia="Calibri"/>
          <w:lang w:eastAsia="en-US"/>
        </w:rPr>
        <w:t>’</w:t>
      </w:r>
      <w:r w:rsidRPr="00980BB2">
        <w:rPr>
          <w:rFonts w:eastAsia="Calibri"/>
          <w:lang w:eastAsia="en-US"/>
        </w:rPr>
        <w:t xml:space="preserve">an </w:t>
      </w:r>
      <w:proofErr w:type="spellStart"/>
      <w:r w:rsidRPr="00980BB2">
        <w:rPr>
          <w:rFonts w:eastAsia="Calibri"/>
          <w:lang w:eastAsia="en-US"/>
        </w:rPr>
        <w:t>As</w:t>
      </w:r>
      <w:r w:rsidR="00626DF2">
        <w:rPr>
          <w:rFonts w:eastAsia="Calibri"/>
          <w:lang w:eastAsia="en-US"/>
        </w:rPr>
        <w:t>’</w:t>
      </w:r>
      <w:r w:rsidRPr="00980BB2">
        <w:rPr>
          <w:rFonts w:eastAsia="Calibri"/>
          <w:lang w:eastAsia="en-US"/>
        </w:rPr>
        <w:t>adiyah</w:t>
      </w:r>
      <w:proofErr w:type="spellEnd"/>
      <w:r w:rsidRPr="00980BB2">
        <w:rPr>
          <w:rFonts w:eastAsia="Calibri"/>
          <w:lang w:eastAsia="en-US"/>
        </w:rPr>
        <w:t xml:space="preserve"> </w:t>
      </w:r>
      <w:proofErr w:type="spellStart"/>
      <w:r w:rsidRPr="00980BB2">
        <w:rPr>
          <w:rFonts w:eastAsia="Calibri"/>
          <w:lang w:eastAsia="en-US"/>
        </w:rPr>
        <w:t>Wonomulyo</w:t>
      </w:r>
      <w:proofErr w:type="spellEnd"/>
      <w:r w:rsidRPr="00980BB2">
        <w:rPr>
          <w:rFonts w:eastAsia="Calibri"/>
          <w:lang w:eastAsia="en-US"/>
        </w:rPr>
        <w:t xml:space="preserve"> Islamic Boarding School, </w:t>
      </w:r>
      <w:proofErr w:type="spellStart"/>
      <w:r w:rsidRPr="00980BB2">
        <w:rPr>
          <w:rFonts w:eastAsia="Calibri"/>
          <w:lang w:eastAsia="en-US"/>
        </w:rPr>
        <w:t>Polewali</w:t>
      </w:r>
      <w:proofErr w:type="spellEnd"/>
      <w:r w:rsidRPr="00980BB2">
        <w:rPr>
          <w:rFonts w:eastAsia="Calibri"/>
          <w:lang w:eastAsia="en-US"/>
        </w:rPr>
        <w:t xml:space="preserve"> Mandar Regency. The experimental group for this research was Class X-A </w:t>
      </w:r>
      <w:proofErr w:type="spellStart"/>
      <w:r w:rsidRPr="00980BB2">
        <w:rPr>
          <w:rFonts w:eastAsia="Calibri"/>
          <w:lang w:eastAsia="en-US"/>
        </w:rPr>
        <w:t>Salafiyah</w:t>
      </w:r>
      <w:proofErr w:type="spellEnd"/>
      <w:r w:rsidRPr="00980BB2">
        <w:rPr>
          <w:rFonts w:eastAsia="Calibri"/>
          <w:lang w:eastAsia="en-US"/>
        </w:rPr>
        <w:t xml:space="preserve"> </w:t>
      </w:r>
      <w:proofErr w:type="spellStart"/>
      <w:r w:rsidRPr="00980BB2">
        <w:rPr>
          <w:rFonts w:eastAsia="Calibri"/>
          <w:lang w:eastAsia="en-US"/>
        </w:rPr>
        <w:t>Marhala</w:t>
      </w:r>
      <w:proofErr w:type="spellEnd"/>
      <w:r w:rsidRPr="00980BB2">
        <w:rPr>
          <w:rFonts w:eastAsia="Calibri"/>
          <w:lang w:eastAsia="en-US"/>
        </w:rPr>
        <w:t xml:space="preserve"> Ulya, totaling 21 students. Meanwhile, the control group was Class X-B </w:t>
      </w:r>
      <w:proofErr w:type="spellStart"/>
      <w:r w:rsidRPr="00980BB2">
        <w:rPr>
          <w:rFonts w:eastAsia="Calibri"/>
          <w:lang w:eastAsia="en-US"/>
        </w:rPr>
        <w:t>Salafiyah</w:t>
      </w:r>
      <w:proofErr w:type="spellEnd"/>
      <w:r w:rsidRPr="00980BB2">
        <w:rPr>
          <w:rFonts w:eastAsia="Calibri"/>
          <w:lang w:eastAsia="en-US"/>
        </w:rPr>
        <w:t xml:space="preserve"> </w:t>
      </w:r>
      <w:proofErr w:type="spellStart"/>
      <w:r w:rsidRPr="00980BB2">
        <w:rPr>
          <w:rFonts w:eastAsia="Calibri"/>
          <w:lang w:eastAsia="en-US"/>
        </w:rPr>
        <w:t>Marhala</w:t>
      </w:r>
      <w:proofErr w:type="spellEnd"/>
      <w:r w:rsidRPr="00980BB2">
        <w:rPr>
          <w:rFonts w:eastAsia="Calibri"/>
          <w:lang w:eastAsia="en-US"/>
        </w:rPr>
        <w:t xml:space="preserve"> Ulya, totaling 21 students. The consideration for choosing this class was because both of them studied Tajweed material in the Al-Qur'an Hadith subject. Apart from that, both are classes with heterogeneous student abilities and have almost the same (not much different) average class learning outcomes in the Al-Qur'an Hadith subject.</w:t>
      </w:r>
    </w:p>
    <w:p w14:paraId="10A01EB9" w14:textId="77777777" w:rsidR="00980BB2" w:rsidRPr="00980BB2" w:rsidRDefault="00980BB2" w:rsidP="00980BB2">
      <w:pPr>
        <w:suppressAutoHyphens w:val="0"/>
        <w:spacing w:line="276" w:lineRule="auto"/>
        <w:ind w:firstLine="720"/>
        <w:jc w:val="both"/>
        <w:rPr>
          <w:rFonts w:eastAsia="Calibri"/>
          <w:lang w:val="id-ID" w:eastAsia="en-US"/>
        </w:rPr>
      </w:pPr>
      <w:r w:rsidRPr="00980BB2">
        <w:rPr>
          <w:rFonts w:eastAsia="Calibri"/>
          <w:lang w:eastAsia="en-US"/>
        </w:rPr>
        <w:t xml:space="preserve">Data was collected by observation, questionnaires, documentation, and tests. Observations were made on the process of implementing </w:t>
      </w:r>
      <w:proofErr w:type="spellStart"/>
      <w:r w:rsidRPr="00980BB2">
        <w:rPr>
          <w:rFonts w:eastAsia="Calibri"/>
          <w:lang w:eastAsia="en-US"/>
        </w:rPr>
        <w:t>tajweed</w:t>
      </w:r>
      <w:proofErr w:type="spellEnd"/>
      <w:r w:rsidRPr="00980BB2">
        <w:rPr>
          <w:rFonts w:eastAsia="Calibri"/>
          <w:lang w:eastAsia="en-US"/>
        </w:rPr>
        <w:t xml:space="preserve"> learning using audio-visual media. Questionnaires were conducted on teachers and students to obtain data on the level of practicality of audio-visual media. Documentation was carried out to collect theoretical data about audio-visual learning media and student learning outcomes. The test was carried out using a Quasi-Experimental Design in the form of a Pretest-Posttest Control Group Design in the experimental class and control class.</w:t>
      </w:r>
    </w:p>
    <w:p w14:paraId="69C7615E" w14:textId="77777777" w:rsidR="00980BB2" w:rsidRPr="00980BB2" w:rsidRDefault="00980BB2" w:rsidP="00980BB2">
      <w:pPr>
        <w:suppressAutoHyphens w:val="0"/>
        <w:spacing w:line="276" w:lineRule="auto"/>
        <w:ind w:firstLine="720"/>
        <w:jc w:val="both"/>
        <w:rPr>
          <w:rFonts w:eastAsia="Calibri"/>
          <w:lang w:val="id-ID" w:eastAsia="en-US"/>
        </w:rPr>
      </w:pPr>
      <w:r w:rsidRPr="00980BB2">
        <w:rPr>
          <w:rFonts w:eastAsia="Calibri"/>
          <w:lang w:val="id-ID" w:eastAsia="en-US"/>
        </w:rPr>
        <w:t xml:space="preserve">The </w:t>
      </w:r>
      <w:r w:rsidRPr="00980BB2">
        <w:rPr>
          <w:rFonts w:eastAsia="Calibri"/>
          <w:lang w:eastAsia="en-US"/>
        </w:rPr>
        <w:t>questions</w:t>
      </w:r>
      <w:r w:rsidRPr="00980BB2">
        <w:rPr>
          <w:rFonts w:eastAsia="Calibri"/>
          <w:lang w:val="id-ID" w:eastAsia="en-US"/>
        </w:rPr>
        <w:t xml:space="preserve"> used for the pretest and posttest in the experimental group and control group were first tested on students of class X-C of Salafiyah Marhala Ulya, Tahfidzul Qur'an As'adiyah Wonomulyo Islamic Boarding School. This class was chosen with the consideration of maintaining the questions that would be given to the research sample when the posttest was carried out. The results of testing the questions are the basis for testing the validity of the questions. The level of validity of question items is based on the following intervals:</w:t>
      </w:r>
    </w:p>
    <w:p w14:paraId="20EF3BE7" w14:textId="77777777" w:rsidR="00980BB2" w:rsidRPr="00980BB2" w:rsidRDefault="00980BB2" w:rsidP="00980BB2">
      <w:pPr>
        <w:suppressAutoHyphens w:val="0"/>
        <w:spacing w:line="276" w:lineRule="auto"/>
        <w:ind w:firstLine="720"/>
        <w:jc w:val="both"/>
        <w:rPr>
          <w:rFonts w:eastAsia="Calibri"/>
          <w:lang w:val="id-ID" w:eastAsia="en-US"/>
        </w:rPr>
      </w:pPr>
      <w:proofErr w:type="spellStart"/>
      <w:r w:rsidRPr="00980BB2">
        <w:rPr>
          <w:rFonts w:eastAsia="Calibri"/>
          <w:lang w:eastAsia="en-US"/>
        </w:rPr>
        <w:t>R</w:t>
      </w:r>
      <w:r w:rsidRPr="00980BB2">
        <w:rPr>
          <w:rFonts w:eastAsia="Calibri"/>
          <w:vertAlign w:val="subscript"/>
          <w:lang w:eastAsia="en-US"/>
        </w:rPr>
        <w:t>count</w:t>
      </w:r>
      <w:proofErr w:type="spellEnd"/>
      <w:r w:rsidRPr="00980BB2">
        <w:rPr>
          <w:rFonts w:eastAsia="Calibri"/>
          <w:lang w:val="id-ID" w:eastAsia="en-US"/>
        </w:rPr>
        <w:t xml:space="preserve"> &gt; 1.00</w:t>
      </w:r>
      <w:r w:rsidRPr="00980BB2">
        <w:rPr>
          <w:rFonts w:eastAsia="Calibri"/>
          <w:lang w:val="id-ID" w:eastAsia="en-US"/>
        </w:rPr>
        <w:tab/>
      </w:r>
      <w:r w:rsidRPr="00980BB2">
        <w:rPr>
          <w:rFonts w:eastAsia="Calibri"/>
          <w:lang w:val="id-ID" w:eastAsia="en-US"/>
        </w:rPr>
        <w:tab/>
        <w:t xml:space="preserve">: </w:t>
      </w:r>
      <w:r w:rsidRPr="00980BB2">
        <w:rPr>
          <w:rFonts w:eastAsia="Calibri"/>
          <w:lang w:eastAsia="en-US"/>
        </w:rPr>
        <w:t>perfect</w:t>
      </w:r>
    </w:p>
    <w:p w14:paraId="14D9BDD9" w14:textId="77777777" w:rsidR="00980BB2" w:rsidRPr="00980BB2" w:rsidRDefault="00980BB2" w:rsidP="00980BB2">
      <w:pPr>
        <w:suppressAutoHyphens w:val="0"/>
        <w:spacing w:line="276" w:lineRule="auto"/>
        <w:ind w:firstLine="720"/>
        <w:jc w:val="both"/>
        <w:rPr>
          <w:rFonts w:eastAsia="Calibri"/>
          <w:lang w:val="id-ID" w:eastAsia="en-US"/>
        </w:rPr>
      </w:pPr>
      <w:proofErr w:type="spellStart"/>
      <w:r w:rsidRPr="00980BB2">
        <w:rPr>
          <w:rFonts w:eastAsia="Calibri"/>
          <w:lang w:eastAsia="en-US"/>
        </w:rPr>
        <w:t>R</w:t>
      </w:r>
      <w:r w:rsidRPr="00980BB2">
        <w:rPr>
          <w:rFonts w:eastAsia="Calibri"/>
          <w:vertAlign w:val="subscript"/>
          <w:lang w:eastAsia="en-US"/>
        </w:rPr>
        <w:t>count</w:t>
      </w:r>
      <w:proofErr w:type="spellEnd"/>
      <w:r w:rsidRPr="00980BB2">
        <w:rPr>
          <w:rFonts w:eastAsia="Calibri"/>
          <w:lang w:val="id-ID" w:eastAsia="en-US"/>
        </w:rPr>
        <w:t xml:space="preserve"> = 0.81-1.00</w:t>
      </w:r>
      <w:r w:rsidRPr="00980BB2">
        <w:rPr>
          <w:rFonts w:eastAsia="Calibri"/>
          <w:lang w:val="id-ID" w:eastAsia="en-US"/>
        </w:rPr>
        <w:tab/>
        <w:t xml:space="preserve">: </w:t>
      </w:r>
      <w:r w:rsidRPr="00980BB2">
        <w:rPr>
          <w:rFonts w:eastAsia="Calibri"/>
          <w:lang w:eastAsia="en-US"/>
        </w:rPr>
        <w:t>very</w:t>
      </w:r>
      <w:r w:rsidRPr="00980BB2">
        <w:rPr>
          <w:rFonts w:eastAsia="Calibri"/>
          <w:lang w:val="id-ID" w:eastAsia="en-US"/>
        </w:rPr>
        <w:t xml:space="preserve"> high</w:t>
      </w:r>
    </w:p>
    <w:p w14:paraId="0054F8C4" w14:textId="77777777" w:rsidR="00980BB2" w:rsidRPr="00980BB2" w:rsidRDefault="00980BB2" w:rsidP="00980BB2">
      <w:pPr>
        <w:suppressAutoHyphens w:val="0"/>
        <w:spacing w:line="276" w:lineRule="auto"/>
        <w:ind w:firstLine="720"/>
        <w:jc w:val="both"/>
        <w:rPr>
          <w:rFonts w:eastAsia="Calibri"/>
          <w:lang w:val="id-ID" w:eastAsia="en-US"/>
        </w:rPr>
      </w:pPr>
      <w:proofErr w:type="spellStart"/>
      <w:r w:rsidRPr="00980BB2">
        <w:rPr>
          <w:rFonts w:eastAsia="Calibri"/>
          <w:lang w:eastAsia="en-US"/>
        </w:rPr>
        <w:t>R</w:t>
      </w:r>
      <w:r w:rsidRPr="00980BB2">
        <w:rPr>
          <w:rFonts w:eastAsia="Calibri"/>
          <w:vertAlign w:val="subscript"/>
          <w:lang w:eastAsia="en-US"/>
        </w:rPr>
        <w:t>count</w:t>
      </w:r>
      <w:proofErr w:type="spellEnd"/>
      <w:r w:rsidRPr="00980BB2">
        <w:rPr>
          <w:rFonts w:eastAsia="Calibri"/>
          <w:lang w:val="id-ID" w:eastAsia="en-US"/>
        </w:rPr>
        <w:t xml:space="preserve"> = 0.61-0.80</w:t>
      </w:r>
      <w:r w:rsidRPr="00980BB2">
        <w:rPr>
          <w:rFonts w:eastAsia="Calibri"/>
          <w:lang w:val="id-ID" w:eastAsia="en-US"/>
        </w:rPr>
        <w:tab/>
        <w:t xml:space="preserve">: </w:t>
      </w:r>
      <w:r w:rsidRPr="00980BB2">
        <w:rPr>
          <w:rFonts w:eastAsia="Calibri"/>
          <w:lang w:eastAsia="en-US"/>
        </w:rPr>
        <w:t>high</w:t>
      </w:r>
    </w:p>
    <w:p w14:paraId="56D81CE4" w14:textId="77777777" w:rsidR="00980BB2" w:rsidRPr="00980BB2" w:rsidRDefault="00980BB2" w:rsidP="00980BB2">
      <w:pPr>
        <w:suppressAutoHyphens w:val="0"/>
        <w:spacing w:line="276" w:lineRule="auto"/>
        <w:ind w:firstLine="720"/>
        <w:jc w:val="both"/>
        <w:rPr>
          <w:rFonts w:eastAsia="Calibri"/>
          <w:lang w:val="id-ID" w:eastAsia="en-US"/>
        </w:rPr>
      </w:pPr>
      <w:proofErr w:type="spellStart"/>
      <w:r w:rsidRPr="00980BB2">
        <w:rPr>
          <w:rFonts w:eastAsia="Calibri"/>
          <w:lang w:eastAsia="en-US"/>
        </w:rPr>
        <w:t>R</w:t>
      </w:r>
      <w:r w:rsidRPr="00980BB2">
        <w:rPr>
          <w:rFonts w:eastAsia="Calibri"/>
          <w:vertAlign w:val="subscript"/>
          <w:lang w:eastAsia="en-US"/>
        </w:rPr>
        <w:t>count</w:t>
      </w:r>
      <w:proofErr w:type="spellEnd"/>
      <w:r w:rsidRPr="00980BB2">
        <w:rPr>
          <w:rFonts w:eastAsia="Calibri"/>
          <w:lang w:val="id-ID" w:eastAsia="en-US"/>
        </w:rPr>
        <w:t xml:space="preserve"> = 0.41-0.60</w:t>
      </w:r>
      <w:r w:rsidRPr="00980BB2">
        <w:rPr>
          <w:rFonts w:eastAsia="Calibri"/>
          <w:lang w:val="id-ID" w:eastAsia="en-US"/>
        </w:rPr>
        <w:tab/>
        <w:t xml:space="preserve">: </w:t>
      </w:r>
      <w:r w:rsidRPr="00980BB2">
        <w:rPr>
          <w:rFonts w:eastAsia="Calibri"/>
          <w:lang w:eastAsia="en-US"/>
        </w:rPr>
        <w:t>medium</w:t>
      </w:r>
    </w:p>
    <w:p w14:paraId="3BD93EAE" w14:textId="77777777" w:rsidR="00980BB2" w:rsidRPr="00980BB2" w:rsidRDefault="00980BB2" w:rsidP="00980BB2">
      <w:pPr>
        <w:suppressAutoHyphens w:val="0"/>
        <w:spacing w:line="276" w:lineRule="auto"/>
        <w:ind w:firstLine="720"/>
        <w:jc w:val="both"/>
        <w:rPr>
          <w:rFonts w:eastAsia="Calibri"/>
          <w:lang w:val="id-ID" w:eastAsia="en-US"/>
        </w:rPr>
      </w:pPr>
      <w:proofErr w:type="spellStart"/>
      <w:r w:rsidRPr="00980BB2">
        <w:rPr>
          <w:rFonts w:eastAsia="Calibri"/>
          <w:lang w:eastAsia="en-US"/>
        </w:rPr>
        <w:t>R</w:t>
      </w:r>
      <w:r w:rsidRPr="00980BB2">
        <w:rPr>
          <w:rFonts w:eastAsia="Calibri"/>
          <w:vertAlign w:val="subscript"/>
          <w:lang w:eastAsia="en-US"/>
        </w:rPr>
        <w:t>count</w:t>
      </w:r>
      <w:proofErr w:type="spellEnd"/>
      <w:r w:rsidRPr="00980BB2">
        <w:rPr>
          <w:rFonts w:eastAsia="Calibri"/>
          <w:lang w:val="id-ID" w:eastAsia="en-US"/>
        </w:rPr>
        <w:t xml:space="preserve"> = 0.21-0.40</w:t>
      </w:r>
      <w:r w:rsidRPr="00980BB2">
        <w:rPr>
          <w:rFonts w:eastAsia="Calibri"/>
          <w:lang w:val="id-ID" w:eastAsia="en-US"/>
        </w:rPr>
        <w:tab/>
        <w:t xml:space="preserve">: </w:t>
      </w:r>
      <w:r w:rsidRPr="00980BB2">
        <w:rPr>
          <w:rFonts w:eastAsia="Calibri"/>
          <w:lang w:eastAsia="en-US"/>
        </w:rPr>
        <w:t>low</w:t>
      </w:r>
    </w:p>
    <w:p w14:paraId="184677FF" w14:textId="77777777" w:rsidR="00980BB2" w:rsidRPr="00980BB2" w:rsidRDefault="00980BB2" w:rsidP="00980BB2">
      <w:pPr>
        <w:suppressAutoHyphens w:val="0"/>
        <w:spacing w:line="276" w:lineRule="auto"/>
        <w:ind w:firstLine="720"/>
        <w:jc w:val="both"/>
        <w:rPr>
          <w:rFonts w:eastAsia="Calibri"/>
          <w:lang w:val="id-ID" w:eastAsia="en-US"/>
        </w:rPr>
      </w:pPr>
      <w:proofErr w:type="spellStart"/>
      <w:r w:rsidRPr="00980BB2">
        <w:rPr>
          <w:rFonts w:eastAsia="Calibri"/>
          <w:lang w:eastAsia="en-US"/>
        </w:rPr>
        <w:t>R</w:t>
      </w:r>
      <w:r w:rsidRPr="00980BB2">
        <w:rPr>
          <w:rFonts w:eastAsia="Calibri"/>
          <w:vertAlign w:val="subscript"/>
          <w:lang w:eastAsia="en-US"/>
        </w:rPr>
        <w:t>count</w:t>
      </w:r>
      <w:proofErr w:type="spellEnd"/>
      <w:r w:rsidRPr="00980BB2">
        <w:rPr>
          <w:rFonts w:eastAsia="Calibri"/>
          <w:lang w:val="id-ID" w:eastAsia="en-US"/>
        </w:rPr>
        <w:t xml:space="preserve"> = 0.00-0.20</w:t>
      </w:r>
      <w:r w:rsidRPr="00980BB2">
        <w:rPr>
          <w:rFonts w:eastAsia="Calibri"/>
          <w:lang w:val="id-ID" w:eastAsia="en-US"/>
        </w:rPr>
        <w:tab/>
        <w:t>: very low (</w:t>
      </w:r>
      <w:r w:rsidRPr="00980BB2">
        <w:rPr>
          <w:rFonts w:eastAsia="Calibri"/>
          <w:lang w:eastAsia="en-US"/>
        </w:rPr>
        <w:t>Riduan</w:t>
      </w:r>
      <w:r w:rsidRPr="00980BB2">
        <w:rPr>
          <w:rFonts w:eastAsia="Calibri"/>
          <w:lang w:val="id-ID" w:eastAsia="en-US"/>
        </w:rPr>
        <w:t xml:space="preserve"> and Sunarto 2015)</w:t>
      </w:r>
    </w:p>
    <w:p w14:paraId="627642DB" w14:textId="77777777" w:rsidR="00980BB2" w:rsidRPr="00980BB2" w:rsidRDefault="00980BB2" w:rsidP="00980BB2">
      <w:pPr>
        <w:suppressAutoHyphens w:val="0"/>
        <w:spacing w:line="276" w:lineRule="auto"/>
        <w:ind w:firstLine="720"/>
        <w:jc w:val="both"/>
        <w:rPr>
          <w:rFonts w:eastAsia="Calibri"/>
          <w:lang w:val="id-ID" w:eastAsia="en-US"/>
        </w:rPr>
      </w:pPr>
      <w:r w:rsidRPr="00980BB2">
        <w:rPr>
          <w:rFonts w:eastAsia="Calibri"/>
          <w:lang w:val="id-ID" w:eastAsia="en-US"/>
        </w:rPr>
        <w:t xml:space="preserve">The </w:t>
      </w:r>
      <w:r w:rsidRPr="00980BB2">
        <w:rPr>
          <w:rFonts w:eastAsia="Calibri"/>
          <w:lang w:eastAsia="en-US"/>
        </w:rPr>
        <w:t>pretest</w:t>
      </w:r>
      <w:r w:rsidRPr="00980BB2">
        <w:rPr>
          <w:rFonts w:eastAsia="Calibri"/>
          <w:lang w:val="id-ID" w:eastAsia="en-US"/>
        </w:rPr>
        <w:t xml:space="preserve"> was carried out to determine the initial conditions or differences between the experimental group and the control group </w:t>
      </w:r>
      <w:r w:rsidRPr="00980BB2">
        <w:rPr>
          <w:rFonts w:eastAsia="Calibri"/>
          <w:lang w:val="id-ID" w:eastAsia="en-US"/>
        </w:rPr>
        <w:fldChar w:fldCharType="begin" w:fldLock="1"/>
      </w:r>
      <w:r w:rsidRPr="00980BB2">
        <w:rPr>
          <w:rFonts w:eastAsia="Calibri"/>
          <w:lang w:val="id-ID" w:eastAsia="en-US"/>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sidRPr="00980BB2">
        <w:rPr>
          <w:rFonts w:eastAsia="Calibri"/>
          <w:lang w:val="id-ID" w:eastAsia="en-US"/>
        </w:rPr>
        <w:fldChar w:fldCharType="separate"/>
      </w:r>
      <w:r w:rsidRPr="00980BB2">
        <w:rPr>
          <w:rFonts w:eastAsia="Calibri"/>
          <w:noProof/>
          <w:lang w:val="id-ID" w:eastAsia="en-US"/>
        </w:rPr>
        <w:t>(Sugiyono 2017)</w:t>
      </w:r>
      <w:r w:rsidRPr="00980BB2">
        <w:rPr>
          <w:rFonts w:eastAsia="Calibri"/>
          <w:lang w:val="id-ID" w:eastAsia="en-US"/>
        </w:rPr>
        <w:fldChar w:fldCharType="end"/>
      </w:r>
      <w:r w:rsidRPr="00980BB2">
        <w:rPr>
          <w:rFonts w:eastAsia="Calibri"/>
          <w:lang w:val="id-ID" w:eastAsia="en-US"/>
        </w:rPr>
        <w:t>. Furthermore, the experimental group was given treatment in the form of learning using audio-visual media, while the control group was still taught using the textbook-based lecture learning method. At the end of the experiment, both groups were given a posttest.</w:t>
      </w:r>
    </w:p>
    <w:p w14:paraId="1FB9FDD1" w14:textId="66496C8D" w:rsidR="00980BB2" w:rsidRDefault="00980BB2" w:rsidP="00980BB2">
      <w:pPr>
        <w:suppressAutoHyphens w:val="0"/>
        <w:spacing w:line="276" w:lineRule="auto"/>
        <w:ind w:firstLine="720"/>
        <w:jc w:val="both"/>
        <w:rPr>
          <w:rFonts w:eastAsia="Calibri"/>
          <w:lang w:val="id-ID" w:eastAsia="en-US"/>
        </w:rPr>
      </w:pPr>
      <w:r w:rsidRPr="00980BB2">
        <w:rPr>
          <w:rFonts w:eastAsia="Calibri"/>
          <w:lang w:val="id-ID" w:eastAsia="en-US"/>
        </w:rPr>
        <w:t xml:space="preserve">This research data analysis technique was carried out by calculating the gain or difference between the pretest and posttest scores. Data processing and statistical tests in this research were assisted by the SPSS Version 26 data processing program. The conclusion in the </w:t>
      </w:r>
      <w:r w:rsidRPr="00980BB2">
        <w:rPr>
          <w:rFonts w:eastAsia="Calibri"/>
          <w:lang w:val="id-ID" w:eastAsia="en-US"/>
        </w:rPr>
        <w:lastRenderedPageBreak/>
        <w:t>reliability test is based on: if the alpha score (R</w:t>
      </w:r>
      <w:r w:rsidRPr="00980BB2">
        <w:rPr>
          <w:rFonts w:eastAsia="Calibri"/>
          <w:vertAlign w:val="subscript"/>
          <w:lang w:val="id-ID" w:eastAsia="en-US"/>
        </w:rPr>
        <w:t>cout</w:t>
      </w:r>
      <w:r w:rsidRPr="00980BB2">
        <w:rPr>
          <w:rFonts w:eastAsia="Calibri"/>
          <w:lang w:val="id-ID" w:eastAsia="en-US"/>
        </w:rPr>
        <w:t>) is greater than the R</w:t>
      </w:r>
      <w:r w:rsidRPr="00980BB2">
        <w:rPr>
          <w:rFonts w:eastAsia="Calibri"/>
          <w:vertAlign w:val="subscript"/>
          <w:lang w:val="id-ID" w:eastAsia="en-US"/>
        </w:rPr>
        <w:t>table</w:t>
      </w:r>
      <w:r w:rsidRPr="00980BB2">
        <w:rPr>
          <w:rFonts w:eastAsia="Calibri"/>
          <w:lang w:val="id-ID" w:eastAsia="en-US"/>
        </w:rPr>
        <w:t xml:space="preserve"> score, then the instrument items are declared reliable; conversely, if the score alpha (R</w:t>
      </w:r>
      <w:r w:rsidRPr="00980BB2">
        <w:rPr>
          <w:rFonts w:eastAsia="Calibri"/>
          <w:vertAlign w:val="subscript"/>
          <w:lang w:val="id-ID" w:eastAsia="en-US"/>
        </w:rPr>
        <w:t>count</w:t>
      </w:r>
      <w:r w:rsidRPr="00980BB2">
        <w:rPr>
          <w:rFonts w:eastAsia="Calibri"/>
          <w:lang w:val="id-ID" w:eastAsia="en-US"/>
        </w:rPr>
        <w:t>) is smaller than the R</w:t>
      </w:r>
      <w:r w:rsidRPr="00980BB2">
        <w:rPr>
          <w:rFonts w:eastAsia="Calibri"/>
          <w:vertAlign w:val="subscript"/>
          <w:lang w:val="id-ID" w:eastAsia="en-US"/>
        </w:rPr>
        <w:t>table</w:t>
      </w:r>
      <w:r w:rsidRPr="00980BB2">
        <w:rPr>
          <w:rFonts w:eastAsia="Calibri"/>
          <w:lang w:val="id-ID" w:eastAsia="en-US"/>
        </w:rPr>
        <w:t>, then the question items are declared unreliable or inconsistent. It is known that the R</w:t>
      </w:r>
      <w:r w:rsidRPr="00980BB2">
        <w:rPr>
          <w:rFonts w:eastAsia="Calibri"/>
          <w:vertAlign w:val="subscript"/>
          <w:lang w:val="id-ID" w:eastAsia="en-US"/>
        </w:rPr>
        <w:t>table</w:t>
      </w:r>
      <w:r w:rsidRPr="00980BB2">
        <w:rPr>
          <w:rFonts w:eastAsia="Calibri"/>
          <w:lang w:val="id-ID" w:eastAsia="en-US"/>
        </w:rPr>
        <w:t xml:space="preserve"> score is 0.360 </w:t>
      </w:r>
      <w:r w:rsidRPr="00980BB2">
        <w:rPr>
          <w:rFonts w:eastAsia="Calibri"/>
          <w:lang w:val="id-ID" w:eastAsia="en-US"/>
        </w:rPr>
        <w:fldChar w:fldCharType="begin" w:fldLock="1"/>
      </w:r>
      <w:r w:rsidRPr="00980BB2">
        <w:rPr>
          <w:rFonts w:eastAsia="Calibri"/>
          <w:lang w:val="id-ID" w:eastAsia="en-US"/>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sidRPr="00980BB2">
        <w:rPr>
          <w:rFonts w:eastAsia="Calibri"/>
          <w:lang w:val="id-ID" w:eastAsia="en-US"/>
        </w:rPr>
        <w:fldChar w:fldCharType="separate"/>
      </w:r>
      <w:r w:rsidRPr="00980BB2">
        <w:rPr>
          <w:rFonts w:eastAsia="Calibri"/>
          <w:noProof/>
          <w:lang w:val="id-ID" w:eastAsia="en-US"/>
        </w:rPr>
        <w:t>(Sugiyono 2017)</w:t>
      </w:r>
      <w:r w:rsidRPr="00980BB2">
        <w:rPr>
          <w:rFonts w:eastAsia="Calibri"/>
          <w:lang w:val="id-ID" w:eastAsia="en-US"/>
        </w:rPr>
        <w:fldChar w:fldCharType="end"/>
      </w:r>
      <w:r w:rsidRPr="00980BB2">
        <w:rPr>
          <w:rFonts w:eastAsia="Calibri"/>
          <w:lang w:val="id-ID" w:eastAsia="en-US"/>
        </w:rPr>
        <w:t xml:space="preserve">. Normality test using “One-Sample Kolmogorov Smirnov.” Data is said to be normal if the calculation results of Asymp. Sig &gt; 0.05. Hypothesis testing uses a t-test (paired sample t-test) with the condition that the data used is normally distributed </w:t>
      </w:r>
      <w:r w:rsidRPr="00980BB2">
        <w:rPr>
          <w:rFonts w:eastAsia="Calibri"/>
          <w:lang w:val="id-ID" w:eastAsia="en-US"/>
        </w:rPr>
        <w:fldChar w:fldCharType="begin" w:fldLock="1"/>
      </w:r>
      <w:r w:rsidRPr="00980BB2">
        <w:rPr>
          <w:rFonts w:eastAsia="Calibri"/>
          <w:lang w:val="id-ID" w:eastAsia="en-US"/>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sidRPr="00980BB2">
        <w:rPr>
          <w:rFonts w:eastAsia="Calibri"/>
          <w:lang w:val="id-ID" w:eastAsia="en-US"/>
        </w:rPr>
        <w:fldChar w:fldCharType="separate"/>
      </w:r>
      <w:r w:rsidRPr="00980BB2">
        <w:rPr>
          <w:rFonts w:eastAsia="Calibri"/>
          <w:noProof/>
          <w:lang w:val="id-ID" w:eastAsia="en-US"/>
        </w:rPr>
        <w:t>(Sugiyono 2017)</w:t>
      </w:r>
      <w:r w:rsidRPr="00980BB2">
        <w:rPr>
          <w:rFonts w:eastAsia="Calibri"/>
          <w:lang w:val="id-ID" w:eastAsia="en-US"/>
        </w:rPr>
        <w:fldChar w:fldCharType="end"/>
      </w:r>
      <w:r w:rsidRPr="00980BB2">
        <w:rPr>
          <w:rFonts w:eastAsia="Calibri"/>
          <w:lang w:val="id-ID" w:eastAsia="en-US"/>
        </w:rPr>
        <w:t>.</w:t>
      </w:r>
    </w:p>
    <w:p w14:paraId="1CD9D228" w14:textId="77777777" w:rsidR="00980BB2" w:rsidRPr="00980BB2" w:rsidRDefault="00980BB2" w:rsidP="00980BB2">
      <w:pPr>
        <w:suppressAutoHyphens w:val="0"/>
        <w:ind w:firstLine="720"/>
        <w:jc w:val="both"/>
        <w:rPr>
          <w:rFonts w:eastAsia="Calibri"/>
          <w:lang w:val="id-ID" w:eastAsia="en-US"/>
        </w:rPr>
      </w:pPr>
    </w:p>
    <w:p w14:paraId="3D4B039B" w14:textId="77777777" w:rsidR="00980BB2" w:rsidRPr="00980BB2" w:rsidRDefault="00980BB2" w:rsidP="00980BB2">
      <w:pPr>
        <w:tabs>
          <w:tab w:val="left" w:pos="340"/>
        </w:tabs>
        <w:spacing w:line="276" w:lineRule="auto"/>
        <w:rPr>
          <w:rFonts w:eastAsia="Calibri"/>
          <w:b/>
          <w:lang w:val="id-ID" w:eastAsia="en-US"/>
        </w:rPr>
      </w:pPr>
      <w:r w:rsidRPr="00980BB2">
        <w:rPr>
          <w:rFonts w:eastAsia="Calibri"/>
          <w:b/>
          <w:lang w:val="id-ID" w:eastAsia="en-US"/>
        </w:rPr>
        <w:t xml:space="preserve">RESULTS </w:t>
      </w:r>
      <w:r w:rsidRPr="00980BB2">
        <w:rPr>
          <w:b/>
          <w:caps/>
        </w:rPr>
        <w:t>AND</w:t>
      </w:r>
      <w:r w:rsidRPr="00980BB2">
        <w:rPr>
          <w:rFonts w:eastAsia="Calibri"/>
          <w:b/>
          <w:lang w:val="id-ID" w:eastAsia="en-US"/>
        </w:rPr>
        <w:t xml:space="preserve"> DISCUSSION</w:t>
      </w:r>
    </w:p>
    <w:p w14:paraId="01D6327F" w14:textId="77777777" w:rsidR="00980BB2" w:rsidRPr="00980BB2" w:rsidRDefault="00980BB2" w:rsidP="00980BB2">
      <w:pPr>
        <w:suppressAutoHyphens w:val="0"/>
        <w:spacing w:before="120"/>
        <w:jc w:val="both"/>
        <w:rPr>
          <w:rFonts w:eastAsia="Calibri"/>
          <w:b/>
          <w:lang w:val="id-ID" w:eastAsia="en-US"/>
        </w:rPr>
      </w:pPr>
      <w:r w:rsidRPr="00980BB2">
        <w:rPr>
          <w:rFonts w:eastAsia="Calibri"/>
          <w:b/>
          <w:lang w:val="id-ID" w:eastAsia="en-US"/>
        </w:rPr>
        <w:t>Results</w:t>
      </w:r>
    </w:p>
    <w:p w14:paraId="115BD5CE" w14:textId="77777777" w:rsidR="00980BB2" w:rsidRPr="00980BB2" w:rsidRDefault="00980BB2" w:rsidP="00980BB2">
      <w:pPr>
        <w:suppressAutoHyphens w:val="0"/>
        <w:spacing w:line="276" w:lineRule="auto"/>
        <w:ind w:firstLine="720"/>
        <w:jc w:val="both"/>
        <w:rPr>
          <w:rFonts w:eastAsia="Calibri"/>
          <w:lang w:eastAsia="en-US"/>
        </w:rPr>
      </w:pPr>
      <w:r w:rsidRPr="00980BB2">
        <w:rPr>
          <w:rFonts w:eastAsia="Calibri"/>
          <w:lang w:eastAsia="en-US"/>
        </w:rPr>
        <w:t>The results of the reliability test of question items in the experimental and control classes can be seen in the following table.</w:t>
      </w:r>
    </w:p>
    <w:p w14:paraId="0B260500" w14:textId="77777777" w:rsidR="00980BB2" w:rsidRPr="00980BB2" w:rsidRDefault="00980BB2" w:rsidP="00980BB2">
      <w:pPr>
        <w:suppressAutoHyphens w:val="0"/>
        <w:spacing w:line="276" w:lineRule="auto"/>
        <w:jc w:val="center"/>
        <w:rPr>
          <w:rFonts w:eastAsia="Calibri"/>
          <w:lang w:eastAsia="en-US"/>
        </w:rPr>
      </w:pPr>
      <w:r w:rsidRPr="00980BB2">
        <w:rPr>
          <w:rFonts w:eastAsia="Calibri"/>
          <w:lang w:eastAsia="en-US"/>
        </w:rPr>
        <w:t>Table 1. Data Reliability Test Results</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8"/>
        <w:gridCol w:w="2226"/>
        <w:gridCol w:w="2226"/>
        <w:gridCol w:w="2299"/>
      </w:tblGrid>
      <w:tr w:rsidR="00980BB2" w:rsidRPr="00980BB2" w14:paraId="6FB4EA44" w14:textId="77777777" w:rsidTr="00430338">
        <w:tc>
          <w:tcPr>
            <w:tcW w:w="2434" w:type="dxa"/>
            <w:tcBorders>
              <w:top w:val="single" w:sz="4" w:space="0" w:color="auto"/>
              <w:bottom w:val="single" w:sz="4" w:space="0" w:color="auto"/>
            </w:tcBorders>
          </w:tcPr>
          <w:p w14:paraId="4C9A8E37" w14:textId="77777777" w:rsidR="00980BB2" w:rsidRPr="00980BB2" w:rsidRDefault="00980BB2" w:rsidP="00980BB2">
            <w:pPr>
              <w:suppressAutoHyphens w:val="0"/>
              <w:jc w:val="center"/>
              <w:rPr>
                <w:rFonts w:ascii="Times New Roman" w:hAnsi="Times New Roman"/>
                <w:lang w:eastAsia="en-US"/>
              </w:rPr>
            </w:pPr>
            <w:r w:rsidRPr="00980BB2">
              <w:rPr>
                <w:rFonts w:ascii="Times New Roman" w:hAnsi="Times New Roman"/>
                <w:lang w:eastAsia="en-US"/>
              </w:rPr>
              <w:t>Class</w:t>
            </w:r>
          </w:p>
        </w:tc>
        <w:tc>
          <w:tcPr>
            <w:tcW w:w="2434" w:type="dxa"/>
            <w:tcBorders>
              <w:top w:val="single" w:sz="4" w:space="0" w:color="auto"/>
              <w:bottom w:val="single" w:sz="4" w:space="0" w:color="auto"/>
            </w:tcBorders>
          </w:tcPr>
          <w:p w14:paraId="604EBD2E" w14:textId="77777777" w:rsidR="00980BB2" w:rsidRPr="00980BB2" w:rsidRDefault="00980BB2" w:rsidP="00980BB2">
            <w:pPr>
              <w:suppressAutoHyphens w:val="0"/>
              <w:jc w:val="center"/>
              <w:rPr>
                <w:rFonts w:ascii="Times New Roman" w:hAnsi="Times New Roman"/>
                <w:lang w:eastAsia="en-US"/>
              </w:rPr>
            </w:pPr>
            <w:proofErr w:type="spellStart"/>
            <w:r w:rsidRPr="00980BB2">
              <w:rPr>
                <w:rFonts w:ascii="Times New Roman" w:hAnsi="Times New Roman"/>
                <w:lang w:eastAsia="en-US"/>
              </w:rPr>
              <w:t>R</w:t>
            </w:r>
            <w:r w:rsidRPr="00980BB2">
              <w:rPr>
                <w:rFonts w:ascii="Times New Roman" w:hAnsi="Times New Roman"/>
                <w:vertAlign w:val="subscript"/>
                <w:lang w:eastAsia="en-US"/>
              </w:rPr>
              <w:t>count</w:t>
            </w:r>
            <w:proofErr w:type="spellEnd"/>
          </w:p>
        </w:tc>
        <w:tc>
          <w:tcPr>
            <w:tcW w:w="2434" w:type="dxa"/>
            <w:tcBorders>
              <w:top w:val="single" w:sz="4" w:space="0" w:color="auto"/>
              <w:bottom w:val="single" w:sz="4" w:space="0" w:color="auto"/>
            </w:tcBorders>
          </w:tcPr>
          <w:p w14:paraId="47BC6873" w14:textId="77777777" w:rsidR="00980BB2" w:rsidRPr="00980BB2" w:rsidRDefault="00980BB2" w:rsidP="00980BB2">
            <w:pPr>
              <w:suppressAutoHyphens w:val="0"/>
              <w:jc w:val="center"/>
              <w:rPr>
                <w:rFonts w:ascii="Times New Roman" w:hAnsi="Times New Roman"/>
                <w:lang w:eastAsia="en-US"/>
              </w:rPr>
            </w:pPr>
            <w:proofErr w:type="spellStart"/>
            <w:r w:rsidRPr="00980BB2">
              <w:rPr>
                <w:rFonts w:ascii="Times New Roman" w:hAnsi="Times New Roman"/>
                <w:lang w:eastAsia="en-US"/>
              </w:rPr>
              <w:t>R</w:t>
            </w:r>
            <w:r w:rsidRPr="00980BB2">
              <w:rPr>
                <w:rFonts w:ascii="Times New Roman" w:hAnsi="Times New Roman"/>
                <w:vertAlign w:val="subscript"/>
                <w:lang w:eastAsia="en-US"/>
              </w:rPr>
              <w:t>table</w:t>
            </w:r>
            <w:proofErr w:type="spellEnd"/>
          </w:p>
        </w:tc>
        <w:tc>
          <w:tcPr>
            <w:tcW w:w="2435" w:type="dxa"/>
            <w:tcBorders>
              <w:top w:val="single" w:sz="4" w:space="0" w:color="auto"/>
              <w:bottom w:val="single" w:sz="4" w:space="0" w:color="auto"/>
            </w:tcBorders>
          </w:tcPr>
          <w:p w14:paraId="21FFDC58" w14:textId="77777777" w:rsidR="00980BB2" w:rsidRPr="00980BB2" w:rsidRDefault="00980BB2" w:rsidP="00980BB2">
            <w:pPr>
              <w:suppressAutoHyphens w:val="0"/>
              <w:jc w:val="center"/>
              <w:rPr>
                <w:rFonts w:ascii="Times New Roman" w:hAnsi="Times New Roman"/>
                <w:lang w:eastAsia="en-US"/>
              </w:rPr>
            </w:pPr>
            <w:r w:rsidRPr="00980BB2">
              <w:rPr>
                <w:rFonts w:ascii="Times New Roman" w:hAnsi="Times New Roman"/>
                <w:lang w:eastAsia="en-US"/>
              </w:rPr>
              <w:t>Description</w:t>
            </w:r>
          </w:p>
        </w:tc>
      </w:tr>
      <w:tr w:rsidR="00980BB2" w:rsidRPr="00980BB2" w14:paraId="40954A0D" w14:textId="77777777" w:rsidTr="00430338">
        <w:tc>
          <w:tcPr>
            <w:tcW w:w="2434" w:type="dxa"/>
            <w:tcBorders>
              <w:top w:val="single" w:sz="4" w:space="0" w:color="auto"/>
            </w:tcBorders>
          </w:tcPr>
          <w:p w14:paraId="0A8C2BCA" w14:textId="77777777" w:rsidR="00980BB2" w:rsidRPr="00980BB2" w:rsidRDefault="00980BB2" w:rsidP="00980BB2">
            <w:pPr>
              <w:suppressAutoHyphens w:val="0"/>
              <w:rPr>
                <w:rFonts w:ascii="Times New Roman" w:hAnsi="Times New Roman"/>
                <w:lang w:eastAsia="en-US"/>
              </w:rPr>
            </w:pPr>
            <w:r w:rsidRPr="00980BB2">
              <w:rPr>
                <w:rFonts w:ascii="Times New Roman" w:hAnsi="Times New Roman"/>
                <w:lang w:eastAsia="en-US"/>
              </w:rPr>
              <w:t>Experimental</w:t>
            </w:r>
          </w:p>
        </w:tc>
        <w:tc>
          <w:tcPr>
            <w:tcW w:w="2434" w:type="dxa"/>
            <w:tcBorders>
              <w:top w:val="single" w:sz="4" w:space="0" w:color="auto"/>
            </w:tcBorders>
          </w:tcPr>
          <w:p w14:paraId="3E78AC3D" w14:textId="77777777" w:rsidR="00980BB2" w:rsidRPr="00980BB2" w:rsidRDefault="00980BB2" w:rsidP="00980BB2">
            <w:pPr>
              <w:suppressAutoHyphens w:val="0"/>
              <w:jc w:val="center"/>
              <w:rPr>
                <w:rFonts w:ascii="Times New Roman" w:hAnsi="Times New Roman"/>
                <w:lang w:eastAsia="en-US"/>
              </w:rPr>
            </w:pPr>
            <w:r w:rsidRPr="00980BB2">
              <w:rPr>
                <w:rFonts w:ascii="Times New Roman" w:hAnsi="Times New Roman"/>
                <w:lang w:eastAsia="en-US"/>
              </w:rPr>
              <w:t>0.867</w:t>
            </w:r>
          </w:p>
        </w:tc>
        <w:tc>
          <w:tcPr>
            <w:tcW w:w="2434" w:type="dxa"/>
            <w:vMerge w:val="restart"/>
            <w:tcBorders>
              <w:top w:val="single" w:sz="4" w:space="0" w:color="auto"/>
            </w:tcBorders>
            <w:vAlign w:val="center"/>
          </w:tcPr>
          <w:p w14:paraId="3674816B" w14:textId="77777777" w:rsidR="00980BB2" w:rsidRPr="00980BB2" w:rsidRDefault="00980BB2" w:rsidP="00980BB2">
            <w:pPr>
              <w:suppressAutoHyphens w:val="0"/>
              <w:jc w:val="center"/>
              <w:rPr>
                <w:rFonts w:ascii="Times New Roman" w:hAnsi="Times New Roman"/>
                <w:lang w:eastAsia="en-US"/>
              </w:rPr>
            </w:pPr>
            <w:r w:rsidRPr="00980BB2">
              <w:rPr>
                <w:rFonts w:ascii="Times New Roman" w:hAnsi="Times New Roman"/>
                <w:lang w:eastAsia="en-US"/>
              </w:rPr>
              <w:t>0.360</w:t>
            </w:r>
          </w:p>
        </w:tc>
        <w:tc>
          <w:tcPr>
            <w:tcW w:w="2435" w:type="dxa"/>
            <w:tcBorders>
              <w:top w:val="single" w:sz="4" w:space="0" w:color="auto"/>
            </w:tcBorders>
          </w:tcPr>
          <w:p w14:paraId="2E95B6DF" w14:textId="77777777" w:rsidR="00980BB2" w:rsidRPr="00980BB2" w:rsidRDefault="00980BB2" w:rsidP="00980BB2">
            <w:pPr>
              <w:suppressAutoHyphens w:val="0"/>
              <w:jc w:val="center"/>
              <w:rPr>
                <w:rFonts w:ascii="Times New Roman" w:hAnsi="Times New Roman"/>
                <w:lang w:eastAsia="en-US"/>
              </w:rPr>
            </w:pPr>
            <w:r w:rsidRPr="00980BB2">
              <w:rPr>
                <w:rFonts w:ascii="Times New Roman" w:hAnsi="Times New Roman"/>
                <w:lang w:eastAsia="en-US"/>
              </w:rPr>
              <w:t>Reliable</w:t>
            </w:r>
          </w:p>
        </w:tc>
      </w:tr>
      <w:tr w:rsidR="00980BB2" w:rsidRPr="00980BB2" w14:paraId="4A340ECB" w14:textId="77777777" w:rsidTr="00430338">
        <w:tc>
          <w:tcPr>
            <w:tcW w:w="2434" w:type="dxa"/>
            <w:tcBorders>
              <w:bottom w:val="single" w:sz="4" w:space="0" w:color="auto"/>
            </w:tcBorders>
          </w:tcPr>
          <w:p w14:paraId="3A46A1AD" w14:textId="77777777" w:rsidR="00980BB2" w:rsidRPr="00980BB2" w:rsidRDefault="00980BB2" w:rsidP="00980BB2">
            <w:pPr>
              <w:suppressAutoHyphens w:val="0"/>
              <w:rPr>
                <w:rFonts w:ascii="Times New Roman" w:hAnsi="Times New Roman"/>
                <w:lang w:eastAsia="en-US"/>
              </w:rPr>
            </w:pPr>
            <w:r w:rsidRPr="00980BB2">
              <w:rPr>
                <w:rFonts w:ascii="Times New Roman" w:hAnsi="Times New Roman"/>
                <w:lang w:eastAsia="en-US"/>
              </w:rPr>
              <w:t>Control</w:t>
            </w:r>
          </w:p>
        </w:tc>
        <w:tc>
          <w:tcPr>
            <w:tcW w:w="2434" w:type="dxa"/>
            <w:tcBorders>
              <w:bottom w:val="single" w:sz="4" w:space="0" w:color="auto"/>
            </w:tcBorders>
          </w:tcPr>
          <w:p w14:paraId="42B5323B" w14:textId="77777777" w:rsidR="00980BB2" w:rsidRPr="00980BB2" w:rsidRDefault="00980BB2" w:rsidP="00980BB2">
            <w:pPr>
              <w:suppressAutoHyphens w:val="0"/>
              <w:jc w:val="center"/>
              <w:rPr>
                <w:rFonts w:ascii="Times New Roman" w:hAnsi="Times New Roman"/>
                <w:lang w:eastAsia="en-US"/>
              </w:rPr>
            </w:pPr>
            <w:r w:rsidRPr="00980BB2">
              <w:rPr>
                <w:rFonts w:ascii="Times New Roman" w:hAnsi="Times New Roman"/>
                <w:lang w:eastAsia="en-US"/>
              </w:rPr>
              <w:t>0.962</w:t>
            </w:r>
          </w:p>
        </w:tc>
        <w:tc>
          <w:tcPr>
            <w:tcW w:w="2434" w:type="dxa"/>
            <w:vMerge/>
            <w:tcBorders>
              <w:bottom w:val="single" w:sz="4" w:space="0" w:color="auto"/>
            </w:tcBorders>
          </w:tcPr>
          <w:p w14:paraId="3C54C6BE" w14:textId="77777777" w:rsidR="00980BB2" w:rsidRPr="00980BB2" w:rsidRDefault="00980BB2" w:rsidP="00980BB2">
            <w:pPr>
              <w:suppressAutoHyphens w:val="0"/>
              <w:jc w:val="center"/>
              <w:rPr>
                <w:rFonts w:ascii="Times New Roman" w:hAnsi="Times New Roman"/>
                <w:lang w:eastAsia="en-US"/>
              </w:rPr>
            </w:pPr>
          </w:p>
        </w:tc>
        <w:tc>
          <w:tcPr>
            <w:tcW w:w="2435" w:type="dxa"/>
            <w:tcBorders>
              <w:bottom w:val="single" w:sz="4" w:space="0" w:color="auto"/>
            </w:tcBorders>
          </w:tcPr>
          <w:p w14:paraId="1B59418A" w14:textId="77777777" w:rsidR="00980BB2" w:rsidRPr="00980BB2" w:rsidRDefault="00980BB2" w:rsidP="00980BB2">
            <w:pPr>
              <w:suppressAutoHyphens w:val="0"/>
              <w:jc w:val="center"/>
              <w:rPr>
                <w:rFonts w:ascii="Times New Roman" w:hAnsi="Times New Roman"/>
                <w:lang w:eastAsia="en-US"/>
              </w:rPr>
            </w:pPr>
            <w:r w:rsidRPr="00980BB2">
              <w:rPr>
                <w:rFonts w:ascii="Times New Roman" w:hAnsi="Times New Roman"/>
                <w:lang w:eastAsia="en-US"/>
              </w:rPr>
              <w:t>Reliable</w:t>
            </w:r>
          </w:p>
        </w:tc>
      </w:tr>
    </w:tbl>
    <w:p w14:paraId="4A285C69" w14:textId="77777777" w:rsidR="00980BB2" w:rsidRPr="00980BB2" w:rsidRDefault="00980BB2" w:rsidP="00980BB2">
      <w:pPr>
        <w:suppressAutoHyphens w:val="0"/>
        <w:spacing w:line="276" w:lineRule="auto"/>
        <w:rPr>
          <w:rFonts w:eastAsia="Calibri"/>
          <w:lang w:eastAsia="en-US"/>
        </w:rPr>
      </w:pPr>
      <w:r w:rsidRPr="00980BB2">
        <w:rPr>
          <w:rFonts w:eastAsia="Calibri"/>
          <w:lang w:eastAsia="en-US"/>
        </w:rPr>
        <w:t>Source: Results of statistical data processing</w:t>
      </w:r>
    </w:p>
    <w:p w14:paraId="096DF9BF" w14:textId="77777777" w:rsidR="00980BB2" w:rsidRPr="00980BB2" w:rsidRDefault="00980BB2" w:rsidP="00980BB2">
      <w:pPr>
        <w:suppressAutoHyphens w:val="0"/>
        <w:spacing w:line="276" w:lineRule="auto"/>
        <w:ind w:firstLine="720"/>
        <w:jc w:val="both"/>
        <w:rPr>
          <w:rFonts w:eastAsia="Calibri"/>
          <w:lang w:eastAsia="en-US"/>
        </w:rPr>
      </w:pPr>
      <w:r w:rsidRPr="00980BB2">
        <w:rPr>
          <w:rFonts w:eastAsia="Calibri"/>
          <w:lang w:eastAsia="en-US"/>
        </w:rPr>
        <w:t>Table 1 shows that the alpha score (</w:t>
      </w:r>
      <w:proofErr w:type="spellStart"/>
      <w:r w:rsidRPr="00980BB2">
        <w:rPr>
          <w:rFonts w:eastAsia="Calibri"/>
          <w:lang w:eastAsia="en-US"/>
        </w:rPr>
        <w:t>R</w:t>
      </w:r>
      <w:r w:rsidRPr="00980BB2">
        <w:rPr>
          <w:rFonts w:eastAsia="Calibri"/>
          <w:vertAlign w:val="subscript"/>
          <w:lang w:eastAsia="en-US"/>
        </w:rPr>
        <w:t>count</w:t>
      </w:r>
      <w:proofErr w:type="spellEnd"/>
      <w:r w:rsidRPr="00980BB2">
        <w:rPr>
          <w:rFonts w:eastAsia="Calibri"/>
          <w:lang w:eastAsia="en-US"/>
        </w:rPr>
        <w:t xml:space="preserve">) of the experimental and control classes is greater than </w:t>
      </w:r>
      <w:proofErr w:type="spellStart"/>
      <w:r w:rsidRPr="00980BB2">
        <w:rPr>
          <w:rFonts w:eastAsia="Calibri"/>
          <w:lang w:eastAsia="en-US"/>
        </w:rPr>
        <w:t>Rtable</w:t>
      </w:r>
      <w:proofErr w:type="spellEnd"/>
      <w:r w:rsidRPr="00980BB2">
        <w:rPr>
          <w:rFonts w:eastAsia="Calibri"/>
          <w:lang w:eastAsia="en-US"/>
        </w:rPr>
        <w:t xml:space="preserve"> 0.360. Likewise, the alpha score (</w:t>
      </w:r>
      <w:proofErr w:type="spellStart"/>
      <w:r w:rsidRPr="00980BB2">
        <w:rPr>
          <w:rFonts w:eastAsia="Calibri"/>
          <w:lang w:eastAsia="en-US"/>
        </w:rPr>
        <w:t>R</w:t>
      </w:r>
      <w:r w:rsidRPr="00980BB2">
        <w:rPr>
          <w:rFonts w:eastAsia="Calibri"/>
          <w:vertAlign w:val="subscript"/>
          <w:lang w:eastAsia="en-US"/>
        </w:rPr>
        <w:t>count</w:t>
      </w:r>
      <w:proofErr w:type="spellEnd"/>
      <w:r w:rsidRPr="00980BB2">
        <w:rPr>
          <w:rFonts w:eastAsia="Calibri"/>
          <w:lang w:eastAsia="en-US"/>
        </w:rPr>
        <w:t>) of the two classes is in the interval 0.81-0.100 (</w:t>
      </w:r>
      <w:r w:rsidRPr="00980BB2">
        <w:rPr>
          <w:rFonts w:eastAsia="Calibri"/>
          <w:lang w:val="id-ID" w:eastAsia="en-US"/>
        </w:rPr>
        <w:t>Riduan and Sunarto 2015: 80)</w:t>
      </w:r>
      <w:r w:rsidRPr="00980BB2">
        <w:rPr>
          <w:rFonts w:eastAsia="Calibri"/>
          <w:lang w:eastAsia="en-US"/>
        </w:rPr>
        <w:t>. This means that all the question items are reliable and the level of reliability of the experimental and control class question items is very high.</w:t>
      </w:r>
    </w:p>
    <w:p w14:paraId="5B12C071" w14:textId="17D37BBB" w:rsidR="00980BB2" w:rsidRPr="00980BB2" w:rsidRDefault="00980BB2" w:rsidP="00980BB2">
      <w:pPr>
        <w:suppressAutoHyphens w:val="0"/>
        <w:spacing w:line="276" w:lineRule="auto"/>
        <w:ind w:firstLine="720"/>
        <w:jc w:val="both"/>
        <w:rPr>
          <w:rFonts w:eastAsia="Calibri"/>
          <w:lang w:eastAsia="en-US"/>
        </w:rPr>
      </w:pPr>
      <w:r w:rsidRPr="00980BB2">
        <w:rPr>
          <w:rFonts w:eastAsia="Calibri"/>
          <w:lang w:eastAsia="en-US"/>
        </w:rPr>
        <w:t xml:space="preserve">Furthermore, the results of the validity test for each question item can be seen in </w:t>
      </w:r>
      <w:r w:rsidR="00E478FA" w:rsidRPr="008E781F">
        <w:rPr>
          <w:rFonts w:eastAsia="Calibri"/>
          <w:lang w:eastAsia="en-US"/>
        </w:rPr>
        <w:t xml:space="preserve">the </w:t>
      </w:r>
      <w:r w:rsidR="00E478FA" w:rsidRPr="00980BB2">
        <w:rPr>
          <w:rFonts w:eastAsia="Calibri"/>
          <w:lang w:eastAsia="en-US"/>
        </w:rPr>
        <w:t>following</w:t>
      </w:r>
      <w:r w:rsidR="00E478FA" w:rsidRPr="008E781F">
        <w:rPr>
          <w:rFonts w:eastAsia="Calibri"/>
          <w:lang w:eastAsia="en-US"/>
        </w:rPr>
        <w:t xml:space="preserve"> t</w:t>
      </w:r>
      <w:r w:rsidRPr="00980BB2">
        <w:rPr>
          <w:rFonts w:eastAsia="Calibri"/>
          <w:lang w:eastAsia="en-US"/>
        </w:rPr>
        <w:t>able</w:t>
      </w:r>
      <w:r w:rsidR="00E478FA" w:rsidRPr="008E781F">
        <w:rPr>
          <w:rFonts w:eastAsia="Calibri"/>
          <w:lang w:eastAsia="en-US"/>
        </w:rPr>
        <w:t>.</w:t>
      </w:r>
    </w:p>
    <w:p w14:paraId="796DA7C2" w14:textId="77777777" w:rsidR="00980BB2" w:rsidRPr="00980BB2" w:rsidRDefault="00980BB2" w:rsidP="00980BB2">
      <w:pPr>
        <w:suppressAutoHyphens w:val="0"/>
        <w:spacing w:line="276" w:lineRule="auto"/>
        <w:jc w:val="center"/>
        <w:rPr>
          <w:rFonts w:eastAsia="Calibri"/>
          <w:iCs/>
          <w:lang w:val="fi-FI" w:eastAsia="en-US"/>
        </w:rPr>
      </w:pPr>
      <w:r w:rsidRPr="00980BB2">
        <w:rPr>
          <w:rFonts w:eastAsia="Calibri"/>
          <w:iCs/>
          <w:lang w:val="id-ID" w:eastAsia="en-US"/>
        </w:rPr>
        <w:t>Table 2. Data Validity Test Results</w:t>
      </w:r>
    </w:p>
    <w:tbl>
      <w:tblPr>
        <w:tblW w:w="4312" w:type="pct"/>
        <w:jc w:val="center"/>
        <w:tblLook w:val="04A0" w:firstRow="1" w:lastRow="0" w:firstColumn="1" w:lastColumn="0" w:noHBand="0" w:noVBand="1"/>
      </w:tblPr>
      <w:tblGrid>
        <w:gridCol w:w="1930"/>
        <w:gridCol w:w="2097"/>
        <w:gridCol w:w="2098"/>
        <w:gridCol w:w="1696"/>
      </w:tblGrid>
      <w:tr w:rsidR="00980BB2" w:rsidRPr="00980BB2" w14:paraId="20B5D7D6" w14:textId="77777777" w:rsidTr="00E478FA">
        <w:trPr>
          <w:trHeight w:val="300"/>
          <w:jc w:val="center"/>
        </w:trPr>
        <w:tc>
          <w:tcPr>
            <w:tcW w:w="1234" w:type="pct"/>
            <w:tcBorders>
              <w:top w:val="single" w:sz="4" w:space="0" w:color="auto"/>
              <w:bottom w:val="single" w:sz="4" w:space="0" w:color="auto"/>
            </w:tcBorders>
            <w:shd w:val="clear" w:color="auto" w:fill="auto"/>
            <w:noWrap/>
            <w:vAlign w:val="center"/>
            <w:hideMark/>
          </w:tcPr>
          <w:p w14:paraId="7EC9AF37" w14:textId="77777777" w:rsidR="00980BB2" w:rsidRPr="00980BB2" w:rsidRDefault="00980BB2" w:rsidP="00980BB2">
            <w:pPr>
              <w:suppressAutoHyphens w:val="0"/>
              <w:contextualSpacing/>
              <w:jc w:val="center"/>
              <w:rPr>
                <w:lang w:eastAsia="en-US"/>
              </w:rPr>
            </w:pPr>
            <w:r w:rsidRPr="00980BB2">
              <w:rPr>
                <w:lang w:eastAsia="en-US"/>
              </w:rPr>
              <w:t>Question Number</w:t>
            </w:r>
          </w:p>
        </w:tc>
        <w:tc>
          <w:tcPr>
            <w:tcW w:w="1341" w:type="pct"/>
            <w:tcBorders>
              <w:top w:val="single" w:sz="4" w:space="0" w:color="auto"/>
              <w:bottom w:val="single" w:sz="4" w:space="0" w:color="auto"/>
            </w:tcBorders>
            <w:shd w:val="clear" w:color="auto" w:fill="auto"/>
            <w:noWrap/>
            <w:vAlign w:val="center"/>
            <w:hideMark/>
          </w:tcPr>
          <w:p w14:paraId="1A53C6FF" w14:textId="77777777" w:rsidR="00980BB2" w:rsidRPr="00980BB2" w:rsidRDefault="00980BB2" w:rsidP="00980BB2">
            <w:pPr>
              <w:suppressAutoHyphens w:val="0"/>
              <w:contextualSpacing/>
              <w:jc w:val="center"/>
              <w:rPr>
                <w:lang w:eastAsia="en-US"/>
              </w:rPr>
            </w:pPr>
            <w:proofErr w:type="spellStart"/>
            <w:r w:rsidRPr="00980BB2">
              <w:rPr>
                <w:rFonts w:eastAsia="Calibri"/>
                <w:lang w:eastAsia="en-US"/>
              </w:rPr>
              <w:t>R</w:t>
            </w:r>
            <w:r w:rsidRPr="00980BB2">
              <w:rPr>
                <w:rFonts w:eastAsia="Calibri"/>
                <w:vertAlign w:val="subscript"/>
                <w:lang w:eastAsia="en-US"/>
              </w:rPr>
              <w:t>count</w:t>
            </w:r>
            <w:proofErr w:type="spellEnd"/>
          </w:p>
        </w:tc>
        <w:tc>
          <w:tcPr>
            <w:tcW w:w="1341" w:type="pct"/>
            <w:tcBorders>
              <w:top w:val="single" w:sz="4" w:space="0" w:color="auto"/>
              <w:bottom w:val="single" w:sz="4" w:space="0" w:color="auto"/>
            </w:tcBorders>
            <w:shd w:val="clear" w:color="auto" w:fill="auto"/>
            <w:noWrap/>
            <w:vAlign w:val="center"/>
            <w:hideMark/>
          </w:tcPr>
          <w:p w14:paraId="1B05DB69" w14:textId="77777777" w:rsidR="00980BB2" w:rsidRPr="00980BB2" w:rsidRDefault="00980BB2" w:rsidP="00980BB2">
            <w:pPr>
              <w:suppressAutoHyphens w:val="0"/>
              <w:contextualSpacing/>
              <w:jc w:val="center"/>
              <w:rPr>
                <w:lang w:eastAsia="en-US"/>
              </w:rPr>
            </w:pPr>
            <w:proofErr w:type="spellStart"/>
            <w:r w:rsidRPr="00980BB2">
              <w:rPr>
                <w:rFonts w:eastAsia="Calibri"/>
                <w:lang w:eastAsia="en-US"/>
              </w:rPr>
              <w:t>R</w:t>
            </w:r>
            <w:r w:rsidRPr="00980BB2">
              <w:rPr>
                <w:rFonts w:eastAsia="Calibri"/>
                <w:vertAlign w:val="subscript"/>
                <w:lang w:eastAsia="en-US"/>
              </w:rPr>
              <w:t>table</w:t>
            </w:r>
            <w:proofErr w:type="spellEnd"/>
          </w:p>
        </w:tc>
        <w:tc>
          <w:tcPr>
            <w:tcW w:w="1085" w:type="pct"/>
            <w:tcBorders>
              <w:top w:val="single" w:sz="4" w:space="0" w:color="auto"/>
              <w:bottom w:val="single" w:sz="4" w:space="0" w:color="auto"/>
            </w:tcBorders>
            <w:shd w:val="clear" w:color="auto" w:fill="auto"/>
            <w:noWrap/>
            <w:vAlign w:val="center"/>
            <w:hideMark/>
          </w:tcPr>
          <w:p w14:paraId="4ABF1C84" w14:textId="77777777" w:rsidR="00980BB2" w:rsidRPr="00980BB2" w:rsidRDefault="00980BB2" w:rsidP="00980BB2">
            <w:pPr>
              <w:suppressAutoHyphens w:val="0"/>
              <w:contextualSpacing/>
              <w:jc w:val="center"/>
              <w:rPr>
                <w:lang w:eastAsia="en-US"/>
              </w:rPr>
            </w:pPr>
            <w:r w:rsidRPr="00980BB2">
              <w:rPr>
                <w:lang w:eastAsia="en-US"/>
              </w:rPr>
              <w:t>Description</w:t>
            </w:r>
          </w:p>
        </w:tc>
      </w:tr>
      <w:tr w:rsidR="00980BB2" w:rsidRPr="00980BB2" w14:paraId="6796DD29" w14:textId="77777777" w:rsidTr="00E478FA">
        <w:trPr>
          <w:trHeight w:val="300"/>
          <w:jc w:val="center"/>
        </w:trPr>
        <w:tc>
          <w:tcPr>
            <w:tcW w:w="1234" w:type="pct"/>
            <w:tcBorders>
              <w:top w:val="single" w:sz="4" w:space="0" w:color="auto"/>
            </w:tcBorders>
            <w:shd w:val="clear" w:color="auto" w:fill="auto"/>
            <w:noWrap/>
            <w:vAlign w:val="center"/>
          </w:tcPr>
          <w:p w14:paraId="7B25E516" w14:textId="77777777" w:rsidR="00980BB2" w:rsidRPr="00980BB2" w:rsidRDefault="00980BB2" w:rsidP="00980BB2">
            <w:pPr>
              <w:suppressAutoHyphens w:val="0"/>
              <w:contextualSpacing/>
              <w:jc w:val="center"/>
              <w:rPr>
                <w:lang w:eastAsia="en-US"/>
              </w:rPr>
            </w:pPr>
            <w:r w:rsidRPr="00980BB2">
              <w:rPr>
                <w:lang w:eastAsia="en-US"/>
              </w:rPr>
              <w:t>1</w:t>
            </w:r>
          </w:p>
        </w:tc>
        <w:tc>
          <w:tcPr>
            <w:tcW w:w="1341" w:type="pct"/>
            <w:tcBorders>
              <w:top w:val="single" w:sz="4" w:space="0" w:color="auto"/>
            </w:tcBorders>
            <w:shd w:val="clear" w:color="auto" w:fill="auto"/>
            <w:noWrap/>
            <w:vAlign w:val="center"/>
            <w:hideMark/>
          </w:tcPr>
          <w:p w14:paraId="77D26D9B" w14:textId="5919136A" w:rsidR="00980BB2" w:rsidRPr="00980BB2" w:rsidRDefault="00980BB2" w:rsidP="00980BB2">
            <w:pPr>
              <w:suppressAutoHyphens w:val="0"/>
              <w:jc w:val="center"/>
              <w:rPr>
                <w:vertAlign w:val="superscript"/>
                <w:lang w:eastAsia="en-US"/>
              </w:rPr>
            </w:pPr>
            <w:r w:rsidRPr="00980BB2">
              <w:rPr>
                <w:lang w:eastAsia="en-US"/>
              </w:rPr>
              <w:t>0</w:t>
            </w:r>
            <w:r w:rsidR="00E478FA" w:rsidRPr="008E781F">
              <w:rPr>
                <w:lang w:eastAsia="en-US"/>
              </w:rPr>
              <w:t>.</w:t>
            </w:r>
            <w:r w:rsidRPr="00980BB2">
              <w:rPr>
                <w:lang w:eastAsia="en-US"/>
              </w:rPr>
              <w:t>706</w:t>
            </w:r>
          </w:p>
        </w:tc>
        <w:tc>
          <w:tcPr>
            <w:tcW w:w="1341" w:type="pct"/>
            <w:vMerge w:val="restart"/>
            <w:tcBorders>
              <w:top w:val="single" w:sz="4" w:space="0" w:color="auto"/>
              <w:bottom w:val="single" w:sz="4" w:space="0" w:color="auto"/>
            </w:tcBorders>
            <w:shd w:val="clear" w:color="auto" w:fill="auto"/>
            <w:noWrap/>
            <w:vAlign w:val="center"/>
            <w:hideMark/>
          </w:tcPr>
          <w:p w14:paraId="5EC3D3CF" w14:textId="49D8FFAC" w:rsidR="00980BB2" w:rsidRPr="00980BB2" w:rsidRDefault="00980BB2" w:rsidP="00980BB2">
            <w:pPr>
              <w:suppressAutoHyphens w:val="0"/>
              <w:contextualSpacing/>
              <w:jc w:val="center"/>
              <w:rPr>
                <w:lang w:eastAsia="en-US"/>
              </w:rPr>
            </w:pPr>
            <w:r w:rsidRPr="00980BB2">
              <w:rPr>
                <w:lang w:eastAsia="en-US"/>
              </w:rPr>
              <w:t>0</w:t>
            </w:r>
            <w:r w:rsidR="00E478FA" w:rsidRPr="008E781F">
              <w:rPr>
                <w:lang w:eastAsia="en-US"/>
              </w:rPr>
              <w:t>.</w:t>
            </w:r>
            <w:r w:rsidRPr="00980BB2">
              <w:rPr>
                <w:lang w:eastAsia="en-US"/>
              </w:rPr>
              <w:t>360</w:t>
            </w:r>
          </w:p>
        </w:tc>
        <w:tc>
          <w:tcPr>
            <w:tcW w:w="1085" w:type="pct"/>
            <w:tcBorders>
              <w:top w:val="single" w:sz="4" w:space="0" w:color="auto"/>
            </w:tcBorders>
            <w:shd w:val="clear" w:color="auto" w:fill="auto"/>
            <w:noWrap/>
            <w:vAlign w:val="center"/>
            <w:hideMark/>
          </w:tcPr>
          <w:p w14:paraId="19A199D2" w14:textId="77777777" w:rsidR="00980BB2" w:rsidRPr="00980BB2" w:rsidRDefault="00980BB2" w:rsidP="00980BB2">
            <w:pPr>
              <w:suppressAutoHyphens w:val="0"/>
              <w:contextualSpacing/>
              <w:jc w:val="center"/>
              <w:rPr>
                <w:lang w:eastAsia="en-US"/>
              </w:rPr>
            </w:pPr>
            <w:r w:rsidRPr="00980BB2">
              <w:rPr>
                <w:lang w:eastAsia="en-US"/>
              </w:rPr>
              <w:t>valid</w:t>
            </w:r>
          </w:p>
        </w:tc>
      </w:tr>
      <w:tr w:rsidR="00980BB2" w:rsidRPr="00980BB2" w14:paraId="721967FF" w14:textId="77777777" w:rsidTr="00E478FA">
        <w:trPr>
          <w:trHeight w:val="300"/>
          <w:jc w:val="center"/>
        </w:trPr>
        <w:tc>
          <w:tcPr>
            <w:tcW w:w="1234" w:type="pct"/>
            <w:shd w:val="clear" w:color="auto" w:fill="auto"/>
            <w:noWrap/>
            <w:vAlign w:val="center"/>
          </w:tcPr>
          <w:p w14:paraId="21AF5FDD" w14:textId="77777777" w:rsidR="00980BB2" w:rsidRPr="00980BB2" w:rsidRDefault="00980BB2" w:rsidP="00980BB2">
            <w:pPr>
              <w:suppressAutoHyphens w:val="0"/>
              <w:jc w:val="center"/>
              <w:rPr>
                <w:rFonts w:eastAsia="Calibri"/>
                <w:lang w:eastAsia="en-US"/>
              </w:rPr>
            </w:pPr>
            <w:r w:rsidRPr="00980BB2">
              <w:rPr>
                <w:rFonts w:eastAsia="Calibri"/>
                <w:lang w:eastAsia="en-US"/>
              </w:rPr>
              <w:t>2</w:t>
            </w:r>
          </w:p>
        </w:tc>
        <w:tc>
          <w:tcPr>
            <w:tcW w:w="1341" w:type="pct"/>
            <w:shd w:val="clear" w:color="auto" w:fill="auto"/>
            <w:noWrap/>
            <w:vAlign w:val="center"/>
            <w:hideMark/>
          </w:tcPr>
          <w:p w14:paraId="5FFD5F53" w14:textId="60037E27" w:rsidR="00980BB2" w:rsidRPr="00980BB2" w:rsidRDefault="00980BB2" w:rsidP="00980BB2">
            <w:pPr>
              <w:suppressAutoHyphens w:val="0"/>
              <w:jc w:val="center"/>
              <w:rPr>
                <w:vertAlign w:val="superscript"/>
                <w:lang w:eastAsia="en-US"/>
              </w:rPr>
            </w:pPr>
            <w:r w:rsidRPr="00980BB2">
              <w:rPr>
                <w:lang w:eastAsia="en-US"/>
              </w:rPr>
              <w:t>0</w:t>
            </w:r>
            <w:r w:rsidR="00E478FA" w:rsidRPr="008E781F">
              <w:rPr>
                <w:lang w:eastAsia="en-US"/>
              </w:rPr>
              <w:t>.</w:t>
            </w:r>
            <w:r w:rsidRPr="00980BB2">
              <w:rPr>
                <w:lang w:eastAsia="en-US"/>
              </w:rPr>
              <w:t>566</w:t>
            </w:r>
          </w:p>
        </w:tc>
        <w:tc>
          <w:tcPr>
            <w:tcW w:w="1341" w:type="pct"/>
            <w:vMerge/>
            <w:tcBorders>
              <w:bottom w:val="single" w:sz="4" w:space="0" w:color="auto"/>
            </w:tcBorders>
            <w:shd w:val="clear" w:color="auto" w:fill="auto"/>
            <w:noWrap/>
            <w:vAlign w:val="center"/>
            <w:hideMark/>
          </w:tcPr>
          <w:p w14:paraId="163EDC48" w14:textId="77777777" w:rsidR="00980BB2" w:rsidRPr="00980BB2" w:rsidRDefault="00980BB2" w:rsidP="00980BB2">
            <w:pPr>
              <w:suppressAutoHyphens w:val="0"/>
              <w:jc w:val="center"/>
              <w:rPr>
                <w:rFonts w:eastAsia="Calibri"/>
                <w:sz w:val="22"/>
                <w:szCs w:val="22"/>
                <w:lang w:eastAsia="en-US"/>
              </w:rPr>
            </w:pPr>
          </w:p>
        </w:tc>
        <w:tc>
          <w:tcPr>
            <w:tcW w:w="1085" w:type="pct"/>
            <w:shd w:val="clear" w:color="auto" w:fill="auto"/>
            <w:noWrap/>
            <w:vAlign w:val="center"/>
            <w:hideMark/>
          </w:tcPr>
          <w:p w14:paraId="04956391" w14:textId="77777777" w:rsidR="00980BB2" w:rsidRPr="00980BB2" w:rsidRDefault="00980BB2" w:rsidP="00980BB2">
            <w:pPr>
              <w:suppressAutoHyphens w:val="0"/>
              <w:contextualSpacing/>
              <w:jc w:val="center"/>
              <w:rPr>
                <w:lang w:eastAsia="en-US"/>
              </w:rPr>
            </w:pPr>
            <w:r w:rsidRPr="00980BB2">
              <w:rPr>
                <w:lang w:eastAsia="en-US"/>
              </w:rPr>
              <w:t>valid</w:t>
            </w:r>
          </w:p>
        </w:tc>
      </w:tr>
      <w:tr w:rsidR="00980BB2" w:rsidRPr="00980BB2" w14:paraId="0BD72C8F" w14:textId="77777777" w:rsidTr="00E478FA">
        <w:trPr>
          <w:trHeight w:val="300"/>
          <w:jc w:val="center"/>
        </w:trPr>
        <w:tc>
          <w:tcPr>
            <w:tcW w:w="1234" w:type="pct"/>
            <w:shd w:val="clear" w:color="auto" w:fill="auto"/>
            <w:noWrap/>
            <w:vAlign w:val="center"/>
          </w:tcPr>
          <w:p w14:paraId="53B795ED" w14:textId="77777777" w:rsidR="00980BB2" w:rsidRPr="00980BB2" w:rsidRDefault="00980BB2" w:rsidP="00980BB2">
            <w:pPr>
              <w:suppressAutoHyphens w:val="0"/>
              <w:jc w:val="center"/>
              <w:rPr>
                <w:rFonts w:eastAsia="Calibri"/>
                <w:lang w:eastAsia="en-US"/>
              </w:rPr>
            </w:pPr>
            <w:r w:rsidRPr="00980BB2">
              <w:rPr>
                <w:rFonts w:eastAsia="Calibri"/>
                <w:lang w:eastAsia="en-US"/>
              </w:rPr>
              <w:t>3</w:t>
            </w:r>
          </w:p>
        </w:tc>
        <w:tc>
          <w:tcPr>
            <w:tcW w:w="1341" w:type="pct"/>
            <w:shd w:val="clear" w:color="auto" w:fill="auto"/>
            <w:noWrap/>
            <w:vAlign w:val="center"/>
            <w:hideMark/>
          </w:tcPr>
          <w:p w14:paraId="44FF7B57" w14:textId="341287D8" w:rsidR="00980BB2" w:rsidRPr="00980BB2" w:rsidRDefault="00980BB2" w:rsidP="00980BB2">
            <w:pPr>
              <w:suppressAutoHyphens w:val="0"/>
              <w:jc w:val="center"/>
              <w:rPr>
                <w:vertAlign w:val="superscript"/>
                <w:lang w:eastAsia="en-US"/>
              </w:rPr>
            </w:pPr>
            <w:r w:rsidRPr="00980BB2">
              <w:rPr>
                <w:lang w:eastAsia="en-US"/>
              </w:rPr>
              <w:t>0</w:t>
            </w:r>
            <w:r w:rsidR="00E478FA" w:rsidRPr="008E781F">
              <w:rPr>
                <w:lang w:eastAsia="en-US"/>
              </w:rPr>
              <w:t>.</w:t>
            </w:r>
            <w:r w:rsidRPr="00980BB2">
              <w:rPr>
                <w:lang w:eastAsia="en-US"/>
              </w:rPr>
              <w:t>388</w:t>
            </w:r>
          </w:p>
        </w:tc>
        <w:tc>
          <w:tcPr>
            <w:tcW w:w="1341" w:type="pct"/>
            <w:vMerge/>
            <w:tcBorders>
              <w:bottom w:val="single" w:sz="4" w:space="0" w:color="auto"/>
            </w:tcBorders>
            <w:shd w:val="clear" w:color="auto" w:fill="auto"/>
            <w:noWrap/>
            <w:vAlign w:val="center"/>
            <w:hideMark/>
          </w:tcPr>
          <w:p w14:paraId="182B9512" w14:textId="77777777" w:rsidR="00980BB2" w:rsidRPr="00980BB2" w:rsidRDefault="00980BB2" w:rsidP="00980BB2">
            <w:pPr>
              <w:suppressAutoHyphens w:val="0"/>
              <w:jc w:val="center"/>
              <w:rPr>
                <w:rFonts w:eastAsia="Calibri"/>
                <w:sz w:val="22"/>
                <w:szCs w:val="22"/>
                <w:lang w:eastAsia="en-US"/>
              </w:rPr>
            </w:pPr>
          </w:p>
        </w:tc>
        <w:tc>
          <w:tcPr>
            <w:tcW w:w="1085" w:type="pct"/>
            <w:shd w:val="clear" w:color="auto" w:fill="auto"/>
            <w:noWrap/>
            <w:vAlign w:val="center"/>
            <w:hideMark/>
          </w:tcPr>
          <w:p w14:paraId="5B028C8F" w14:textId="77777777" w:rsidR="00980BB2" w:rsidRPr="00980BB2" w:rsidRDefault="00980BB2" w:rsidP="00980BB2">
            <w:pPr>
              <w:suppressAutoHyphens w:val="0"/>
              <w:contextualSpacing/>
              <w:jc w:val="center"/>
              <w:rPr>
                <w:lang w:eastAsia="en-US"/>
              </w:rPr>
            </w:pPr>
            <w:r w:rsidRPr="00980BB2">
              <w:rPr>
                <w:lang w:eastAsia="en-US"/>
              </w:rPr>
              <w:t>valid</w:t>
            </w:r>
          </w:p>
        </w:tc>
      </w:tr>
      <w:tr w:rsidR="00980BB2" w:rsidRPr="00980BB2" w14:paraId="05D91A13" w14:textId="77777777" w:rsidTr="00E478FA">
        <w:trPr>
          <w:trHeight w:val="300"/>
          <w:jc w:val="center"/>
        </w:trPr>
        <w:tc>
          <w:tcPr>
            <w:tcW w:w="1234" w:type="pct"/>
            <w:shd w:val="clear" w:color="auto" w:fill="auto"/>
            <w:noWrap/>
            <w:vAlign w:val="center"/>
          </w:tcPr>
          <w:p w14:paraId="58D51EEC" w14:textId="77777777" w:rsidR="00980BB2" w:rsidRPr="00980BB2" w:rsidRDefault="00980BB2" w:rsidP="00980BB2">
            <w:pPr>
              <w:suppressAutoHyphens w:val="0"/>
              <w:jc w:val="center"/>
              <w:rPr>
                <w:rFonts w:eastAsia="Calibri"/>
                <w:lang w:eastAsia="en-US"/>
              </w:rPr>
            </w:pPr>
            <w:r w:rsidRPr="00980BB2">
              <w:rPr>
                <w:rFonts w:eastAsia="Calibri"/>
                <w:lang w:eastAsia="en-US"/>
              </w:rPr>
              <w:t>4</w:t>
            </w:r>
          </w:p>
        </w:tc>
        <w:tc>
          <w:tcPr>
            <w:tcW w:w="1341" w:type="pct"/>
            <w:shd w:val="clear" w:color="auto" w:fill="auto"/>
            <w:noWrap/>
            <w:vAlign w:val="center"/>
            <w:hideMark/>
          </w:tcPr>
          <w:p w14:paraId="03102DB0" w14:textId="761EF822" w:rsidR="00980BB2" w:rsidRPr="00980BB2" w:rsidRDefault="00980BB2" w:rsidP="00980BB2">
            <w:pPr>
              <w:suppressAutoHyphens w:val="0"/>
              <w:jc w:val="center"/>
              <w:rPr>
                <w:vertAlign w:val="superscript"/>
                <w:lang w:eastAsia="en-US"/>
              </w:rPr>
            </w:pPr>
            <w:r w:rsidRPr="00980BB2">
              <w:rPr>
                <w:lang w:eastAsia="en-US"/>
              </w:rPr>
              <w:t>0</w:t>
            </w:r>
            <w:r w:rsidR="00E478FA" w:rsidRPr="008E781F">
              <w:rPr>
                <w:lang w:eastAsia="en-US"/>
              </w:rPr>
              <w:t>.</w:t>
            </w:r>
            <w:r w:rsidRPr="00980BB2">
              <w:rPr>
                <w:lang w:eastAsia="en-US"/>
              </w:rPr>
              <w:t>3</w:t>
            </w:r>
            <w:r w:rsidRPr="00980BB2">
              <w:rPr>
                <w:lang w:val="id-ID" w:eastAsia="en-US"/>
              </w:rPr>
              <w:t>8</w:t>
            </w:r>
            <w:r w:rsidRPr="00980BB2">
              <w:rPr>
                <w:lang w:eastAsia="en-US"/>
              </w:rPr>
              <w:t>7</w:t>
            </w:r>
          </w:p>
        </w:tc>
        <w:tc>
          <w:tcPr>
            <w:tcW w:w="1341" w:type="pct"/>
            <w:vMerge/>
            <w:tcBorders>
              <w:bottom w:val="single" w:sz="4" w:space="0" w:color="auto"/>
            </w:tcBorders>
            <w:shd w:val="clear" w:color="auto" w:fill="auto"/>
            <w:noWrap/>
            <w:vAlign w:val="center"/>
            <w:hideMark/>
          </w:tcPr>
          <w:p w14:paraId="1EB56645" w14:textId="77777777" w:rsidR="00980BB2" w:rsidRPr="00980BB2" w:rsidRDefault="00980BB2" w:rsidP="00980BB2">
            <w:pPr>
              <w:suppressAutoHyphens w:val="0"/>
              <w:jc w:val="center"/>
              <w:rPr>
                <w:rFonts w:eastAsia="Calibri"/>
                <w:sz w:val="22"/>
                <w:szCs w:val="22"/>
                <w:lang w:eastAsia="en-US"/>
              </w:rPr>
            </w:pPr>
          </w:p>
        </w:tc>
        <w:tc>
          <w:tcPr>
            <w:tcW w:w="1085" w:type="pct"/>
            <w:shd w:val="clear" w:color="auto" w:fill="auto"/>
            <w:noWrap/>
            <w:vAlign w:val="center"/>
            <w:hideMark/>
          </w:tcPr>
          <w:p w14:paraId="30213ACA" w14:textId="77777777" w:rsidR="00980BB2" w:rsidRPr="00980BB2" w:rsidRDefault="00980BB2" w:rsidP="00980BB2">
            <w:pPr>
              <w:suppressAutoHyphens w:val="0"/>
              <w:contextualSpacing/>
              <w:jc w:val="center"/>
              <w:rPr>
                <w:lang w:eastAsia="en-US"/>
              </w:rPr>
            </w:pPr>
            <w:r w:rsidRPr="00980BB2">
              <w:rPr>
                <w:lang w:eastAsia="en-US"/>
              </w:rPr>
              <w:t>valid</w:t>
            </w:r>
          </w:p>
        </w:tc>
      </w:tr>
      <w:tr w:rsidR="00980BB2" w:rsidRPr="00980BB2" w14:paraId="51E3B7B0" w14:textId="77777777" w:rsidTr="00E478FA">
        <w:trPr>
          <w:trHeight w:val="300"/>
          <w:jc w:val="center"/>
        </w:trPr>
        <w:tc>
          <w:tcPr>
            <w:tcW w:w="1234" w:type="pct"/>
            <w:shd w:val="clear" w:color="auto" w:fill="auto"/>
            <w:noWrap/>
            <w:vAlign w:val="center"/>
          </w:tcPr>
          <w:p w14:paraId="74C9F156" w14:textId="77777777" w:rsidR="00980BB2" w:rsidRPr="00980BB2" w:rsidRDefault="00980BB2" w:rsidP="00980BB2">
            <w:pPr>
              <w:suppressAutoHyphens w:val="0"/>
              <w:jc w:val="center"/>
              <w:rPr>
                <w:rFonts w:eastAsia="Calibri"/>
                <w:lang w:eastAsia="en-US"/>
              </w:rPr>
            </w:pPr>
            <w:r w:rsidRPr="00980BB2">
              <w:rPr>
                <w:rFonts w:eastAsia="Calibri"/>
                <w:lang w:eastAsia="en-US"/>
              </w:rPr>
              <w:t>5</w:t>
            </w:r>
          </w:p>
        </w:tc>
        <w:tc>
          <w:tcPr>
            <w:tcW w:w="1341" w:type="pct"/>
            <w:shd w:val="clear" w:color="auto" w:fill="auto"/>
            <w:noWrap/>
            <w:vAlign w:val="center"/>
            <w:hideMark/>
          </w:tcPr>
          <w:p w14:paraId="023C776B" w14:textId="437CAB9B" w:rsidR="00980BB2" w:rsidRPr="00980BB2" w:rsidRDefault="00980BB2" w:rsidP="00980BB2">
            <w:pPr>
              <w:suppressAutoHyphens w:val="0"/>
              <w:jc w:val="center"/>
              <w:rPr>
                <w:vertAlign w:val="superscript"/>
                <w:lang w:eastAsia="en-US"/>
              </w:rPr>
            </w:pPr>
            <w:r w:rsidRPr="00980BB2">
              <w:rPr>
                <w:lang w:eastAsia="en-US"/>
              </w:rPr>
              <w:t>0</w:t>
            </w:r>
            <w:r w:rsidR="00E478FA" w:rsidRPr="008E781F">
              <w:rPr>
                <w:lang w:eastAsia="en-US"/>
              </w:rPr>
              <w:t>.</w:t>
            </w:r>
            <w:r w:rsidRPr="00980BB2">
              <w:rPr>
                <w:lang w:eastAsia="en-US"/>
              </w:rPr>
              <w:t>464</w:t>
            </w:r>
          </w:p>
        </w:tc>
        <w:tc>
          <w:tcPr>
            <w:tcW w:w="1341" w:type="pct"/>
            <w:vMerge/>
            <w:tcBorders>
              <w:bottom w:val="single" w:sz="4" w:space="0" w:color="auto"/>
            </w:tcBorders>
            <w:shd w:val="clear" w:color="auto" w:fill="auto"/>
            <w:noWrap/>
            <w:vAlign w:val="center"/>
            <w:hideMark/>
          </w:tcPr>
          <w:p w14:paraId="64BDEB0F" w14:textId="77777777" w:rsidR="00980BB2" w:rsidRPr="00980BB2" w:rsidRDefault="00980BB2" w:rsidP="00980BB2">
            <w:pPr>
              <w:suppressAutoHyphens w:val="0"/>
              <w:jc w:val="center"/>
              <w:rPr>
                <w:rFonts w:eastAsia="Calibri"/>
                <w:sz w:val="22"/>
                <w:szCs w:val="22"/>
                <w:lang w:eastAsia="en-US"/>
              </w:rPr>
            </w:pPr>
          </w:p>
        </w:tc>
        <w:tc>
          <w:tcPr>
            <w:tcW w:w="1085" w:type="pct"/>
            <w:shd w:val="clear" w:color="auto" w:fill="auto"/>
            <w:noWrap/>
            <w:vAlign w:val="center"/>
            <w:hideMark/>
          </w:tcPr>
          <w:p w14:paraId="64EF7837" w14:textId="77777777" w:rsidR="00980BB2" w:rsidRPr="00980BB2" w:rsidRDefault="00980BB2" w:rsidP="00980BB2">
            <w:pPr>
              <w:suppressAutoHyphens w:val="0"/>
              <w:contextualSpacing/>
              <w:jc w:val="center"/>
              <w:rPr>
                <w:lang w:eastAsia="en-US"/>
              </w:rPr>
            </w:pPr>
            <w:r w:rsidRPr="00980BB2">
              <w:rPr>
                <w:lang w:eastAsia="en-US"/>
              </w:rPr>
              <w:t>valid</w:t>
            </w:r>
          </w:p>
        </w:tc>
      </w:tr>
      <w:tr w:rsidR="00980BB2" w:rsidRPr="00980BB2" w14:paraId="66F16398" w14:textId="77777777" w:rsidTr="00E478FA">
        <w:trPr>
          <w:trHeight w:val="300"/>
          <w:jc w:val="center"/>
        </w:trPr>
        <w:tc>
          <w:tcPr>
            <w:tcW w:w="1234" w:type="pct"/>
            <w:shd w:val="clear" w:color="auto" w:fill="auto"/>
            <w:noWrap/>
            <w:vAlign w:val="center"/>
          </w:tcPr>
          <w:p w14:paraId="280AAF62" w14:textId="77777777" w:rsidR="00980BB2" w:rsidRPr="00980BB2" w:rsidRDefault="00980BB2" w:rsidP="00980BB2">
            <w:pPr>
              <w:suppressAutoHyphens w:val="0"/>
              <w:jc w:val="center"/>
              <w:rPr>
                <w:rFonts w:eastAsia="Calibri"/>
                <w:lang w:eastAsia="en-US"/>
              </w:rPr>
            </w:pPr>
            <w:r w:rsidRPr="00980BB2">
              <w:rPr>
                <w:rFonts w:eastAsia="Calibri"/>
                <w:lang w:eastAsia="en-US"/>
              </w:rPr>
              <w:t>6</w:t>
            </w:r>
          </w:p>
        </w:tc>
        <w:tc>
          <w:tcPr>
            <w:tcW w:w="1341" w:type="pct"/>
            <w:shd w:val="clear" w:color="auto" w:fill="auto"/>
            <w:noWrap/>
            <w:vAlign w:val="center"/>
            <w:hideMark/>
          </w:tcPr>
          <w:p w14:paraId="3CF71147" w14:textId="6F4C9EB5" w:rsidR="00980BB2" w:rsidRPr="00980BB2" w:rsidRDefault="00980BB2" w:rsidP="00980BB2">
            <w:pPr>
              <w:suppressAutoHyphens w:val="0"/>
              <w:jc w:val="center"/>
              <w:rPr>
                <w:vertAlign w:val="superscript"/>
                <w:lang w:eastAsia="en-US"/>
              </w:rPr>
            </w:pPr>
            <w:r w:rsidRPr="00980BB2">
              <w:rPr>
                <w:lang w:eastAsia="en-US"/>
              </w:rPr>
              <w:t>0</w:t>
            </w:r>
            <w:r w:rsidR="00E478FA" w:rsidRPr="008E781F">
              <w:rPr>
                <w:lang w:eastAsia="en-US"/>
              </w:rPr>
              <w:t>.</w:t>
            </w:r>
            <w:r w:rsidRPr="00980BB2">
              <w:rPr>
                <w:lang w:eastAsia="en-US"/>
              </w:rPr>
              <w:t>491</w:t>
            </w:r>
          </w:p>
        </w:tc>
        <w:tc>
          <w:tcPr>
            <w:tcW w:w="1341" w:type="pct"/>
            <w:vMerge/>
            <w:tcBorders>
              <w:bottom w:val="single" w:sz="4" w:space="0" w:color="auto"/>
            </w:tcBorders>
            <w:shd w:val="clear" w:color="auto" w:fill="auto"/>
            <w:noWrap/>
            <w:vAlign w:val="center"/>
            <w:hideMark/>
          </w:tcPr>
          <w:p w14:paraId="6D5E9FFD" w14:textId="77777777" w:rsidR="00980BB2" w:rsidRPr="00980BB2" w:rsidRDefault="00980BB2" w:rsidP="00980BB2">
            <w:pPr>
              <w:suppressAutoHyphens w:val="0"/>
              <w:jc w:val="center"/>
              <w:rPr>
                <w:rFonts w:eastAsia="Calibri"/>
                <w:sz w:val="22"/>
                <w:szCs w:val="22"/>
                <w:lang w:eastAsia="en-US"/>
              </w:rPr>
            </w:pPr>
          </w:p>
        </w:tc>
        <w:tc>
          <w:tcPr>
            <w:tcW w:w="1085" w:type="pct"/>
            <w:shd w:val="clear" w:color="auto" w:fill="auto"/>
            <w:noWrap/>
            <w:vAlign w:val="center"/>
            <w:hideMark/>
          </w:tcPr>
          <w:p w14:paraId="622CACE3" w14:textId="77777777" w:rsidR="00980BB2" w:rsidRPr="00980BB2" w:rsidRDefault="00980BB2" w:rsidP="00980BB2">
            <w:pPr>
              <w:suppressAutoHyphens w:val="0"/>
              <w:contextualSpacing/>
              <w:jc w:val="center"/>
              <w:rPr>
                <w:lang w:eastAsia="en-US"/>
              </w:rPr>
            </w:pPr>
            <w:r w:rsidRPr="00980BB2">
              <w:rPr>
                <w:lang w:eastAsia="en-US"/>
              </w:rPr>
              <w:t>valid</w:t>
            </w:r>
          </w:p>
        </w:tc>
      </w:tr>
      <w:tr w:rsidR="00980BB2" w:rsidRPr="00980BB2" w14:paraId="29AA3F9E" w14:textId="77777777" w:rsidTr="00E478FA">
        <w:trPr>
          <w:trHeight w:val="300"/>
          <w:jc w:val="center"/>
        </w:trPr>
        <w:tc>
          <w:tcPr>
            <w:tcW w:w="1234" w:type="pct"/>
            <w:shd w:val="clear" w:color="auto" w:fill="auto"/>
            <w:noWrap/>
            <w:vAlign w:val="center"/>
          </w:tcPr>
          <w:p w14:paraId="5586A3F8" w14:textId="77777777" w:rsidR="00980BB2" w:rsidRPr="00980BB2" w:rsidRDefault="00980BB2" w:rsidP="00980BB2">
            <w:pPr>
              <w:suppressAutoHyphens w:val="0"/>
              <w:jc w:val="center"/>
              <w:rPr>
                <w:rFonts w:eastAsia="Calibri"/>
                <w:lang w:eastAsia="en-US"/>
              </w:rPr>
            </w:pPr>
            <w:r w:rsidRPr="00980BB2">
              <w:rPr>
                <w:rFonts w:eastAsia="Calibri"/>
                <w:lang w:eastAsia="en-US"/>
              </w:rPr>
              <w:t>7</w:t>
            </w:r>
          </w:p>
        </w:tc>
        <w:tc>
          <w:tcPr>
            <w:tcW w:w="1341" w:type="pct"/>
            <w:shd w:val="clear" w:color="auto" w:fill="auto"/>
            <w:noWrap/>
            <w:vAlign w:val="center"/>
            <w:hideMark/>
          </w:tcPr>
          <w:p w14:paraId="294D548F" w14:textId="3EA66DCB" w:rsidR="00980BB2" w:rsidRPr="00980BB2" w:rsidRDefault="00980BB2" w:rsidP="00980BB2">
            <w:pPr>
              <w:suppressAutoHyphens w:val="0"/>
              <w:jc w:val="center"/>
              <w:rPr>
                <w:vertAlign w:val="superscript"/>
                <w:lang w:eastAsia="en-US"/>
              </w:rPr>
            </w:pPr>
            <w:r w:rsidRPr="00980BB2">
              <w:rPr>
                <w:lang w:eastAsia="en-US"/>
              </w:rPr>
              <w:t>0</w:t>
            </w:r>
            <w:r w:rsidR="00E478FA" w:rsidRPr="008E781F">
              <w:rPr>
                <w:lang w:eastAsia="en-US"/>
              </w:rPr>
              <w:t>.</w:t>
            </w:r>
            <w:r w:rsidRPr="00980BB2">
              <w:rPr>
                <w:lang w:eastAsia="en-US"/>
              </w:rPr>
              <w:t>461</w:t>
            </w:r>
          </w:p>
        </w:tc>
        <w:tc>
          <w:tcPr>
            <w:tcW w:w="1341" w:type="pct"/>
            <w:vMerge/>
            <w:tcBorders>
              <w:bottom w:val="single" w:sz="4" w:space="0" w:color="auto"/>
            </w:tcBorders>
            <w:shd w:val="clear" w:color="auto" w:fill="auto"/>
            <w:noWrap/>
            <w:vAlign w:val="center"/>
            <w:hideMark/>
          </w:tcPr>
          <w:p w14:paraId="16B1C845" w14:textId="77777777" w:rsidR="00980BB2" w:rsidRPr="00980BB2" w:rsidRDefault="00980BB2" w:rsidP="00980BB2">
            <w:pPr>
              <w:suppressAutoHyphens w:val="0"/>
              <w:jc w:val="center"/>
              <w:rPr>
                <w:rFonts w:eastAsia="Calibri"/>
                <w:sz w:val="22"/>
                <w:szCs w:val="22"/>
                <w:lang w:eastAsia="en-US"/>
              </w:rPr>
            </w:pPr>
          </w:p>
        </w:tc>
        <w:tc>
          <w:tcPr>
            <w:tcW w:w="1085" w:type="pct"/>
            <w:shd w:val="clear" w:color="auto" w:fill="auto"/>
            <w:noWrap/>
            <w:vAlign w:val="center"/>
            <w:hideMark/>
          </w:tcPr>
          <w:p w14:paraId="3D5CBC22" w14:textId="77777777" w:rsidR="00980BB2" w:rsidRPr="00980BB2" w:rsidRDefault="00980BB2" w:rsidP="00980BB2">
            <w:pPr>
              <w:suppressAutoHyphens w:val="0"/>
              <w:contextualSpacing/>
              <w:jc w:val="center"/>
              <w:rPr>
                <w:lang w:eastAsia="en-US"/>
              </w:rPr>
            </w:pPr>
            <w:r w:rsidRPr="00980BB2">
              <w:rPr>
                <w:lang w:eastAsia="en-US"/>
              </w:rPr>
              <w:t>valid</w:t>
            </w:r>
          </w:p>
        </w:tc>
      </w:tr>
      <w:tr w:rsidR="00980BB2" w:rsidRPr="00980BB2" w14:paraId="0B887BBE" w14:textId="77777777" w:rsidTr="00E478FA">
        <w:trPr>
          <w:trHeight w:val="300"/>
          <w:jc w:val="center"/>
        </w:trPr>
        <w:tc>
          <w:tcPr>
            <w:tcW w:w="1234" w:type="pct"/>
            <w:shd w:val="clear" w:color="auto" w:fill="auto"/>
            <w:noWrap/>
            <w:vAlign w:val="center"/>
          </w:tcPr>
          <w:p w14:paraId="03574D05" w14:textId="77777777" w:rsidR="00980BB2" w:rsidRPr="00980BB2" w:rsidRDefault="00980BB2" w:rsidP="00980BB2">
            <w:pPr>
              <w:suppressAutoHyphens w:val="0"/>
              <w:jc w:val="center"/>
              <w:rPr>
                <w:rFonts w:eastAsia="Calibri"/>
                <w:lang w:eastAsia="en-US"/>
              </w:rPr>
            </w:pPr>
            <w:r w:rsidRPr="00980BB2">
              <w:rPr>
                <w:rFonts w:eastAsia="Calibri"/>
                <w:lang w:eastAsia="en-US"/>
              </w:rPr>
              <w:t>8</w:t>
            </w:r>
          </w:p>
        </w:tc>
        <w:tc>
          <w:tcPr>
            <w:tcW w:w="1341" w:type="pct"/>
            <w:shd w:val="clear" w:color="auto" w:fill="auto"/>
            <w:noWrap/>
            <w:vAlign w:val="center"/>
            <w:hideMark/>
          </w:tcPr>
          <w:p w14:paraId="47326A45" w14:textId="225F9187" w:rsidR="00980BB2" w:rsidRPr="00980BB2" w:rsidRDefault="00980BB2" w:rsidP="00980BB2">
            <w:pPr>
              <w:suppressAutoHyphens w:val="0"/>
              <w:jc w:val="center"/>
              <w:rPr>
                <w:vertAlign w:val="superscript"/>
                <w:lang w:eastAsia="en-US"/>
              </w:rPr>
            </w:pPr>
            <w:r w:rsidRPr="00980BB2">
              <w:rPr>
                <w:lang w:eastAsia="en-US"/>
              </w:rPr>
              <w:t>0</w:t>
            </w:r>
            <w:r w:rsidR="00E478FA" w:rsidRPr="008E781F">
              <w:rPr>
                <w:lang w:eastAsia="en-US"/>
              </w:rPr>
              <w:t>.</w:t>
            </w:r>
            <w:r w:rsidRPr="00980BB2">
              <w:rPr>
                <w:lang w:eastAsia="en-US"/>
              </w:rPr>
              <w:t>503</w:t>
            </w:r>
          </w:p>
        </w:tc>
        <w:tc>
          <w:tcPr>
            <w:tcW w:w="1341" w:type="pct"/>
            <w:vMerge/>
            <w:tcBorders>
              <w:bottom w:val="single" w:sz="4" w:space="0" w:color="auto"/>
            </w:tcBorders>
            <w:shd w:val="clear" w:color="auto" w:fill="auto"/>
            <w:noWrap/>
            <w:vAlign w:val="center"/>
            <w:hideMark/>
          </w:tcPr>
          <w:p w14:paraId="7423AE68" w14:textId="77777777" w:rsidR="00980BB2" w:rsidRPr="00980BB2" w:rsidRDefault="00980BB2" w:rsidP="00980BB2">
            <w:pPr>
              <w:suppressAutoHyphens w:val="0"/>
              <w:jc w:val="center"/>
              <w:rPr>
                <w:rFonts w:eastAsia="Calibri"/>
                <w:sz w:val="22"/>
                <w:szCs w:val="22"/>
                <w:lang w:eastAsia="en-US"/>
              </w:rPr>
            </w:pPr>
          </w:p>
        </w:tc>
        <w:tc>
          <w:tcPr>
            <w:tcW w:w="1085" w:type="pct"/>
            <w:shd w:val="clear" w:color="auto" w:fill="auto"/>
            <w:noWrap/>
            <w:vAlign w:val="center"/>
            <w:hideMark/>
          </w:tcPr>
          <w:p w14:paraId="17E6C7B7" w14:textId="77777777" w:rsidR="00980BB2" w:rsidRPr="00980BB2" w:rsidRDefault="00980BB2" w:rsidP="00980BB2">
            <w:pPr>
              <w:suppressAutoHyphens w:val="0"/>
              <w:contextualSpacing/>
              <w:jc w:val="center"/>
              <w:rPr>
                <w:lang w:eastAsia="en-US"/>
              </w:rPr>
            </w:pPr>
            <w:r w:rsidRPr="00980BB2">
              <w:rPr>
                <w:lang w:eastAsia="en-US"/>
              </w:rPr>
              <w:t>valid</w:t>
            </w:r>
          </w:p>
        </w:tc>
      </w:tr>
      <w:tr w:rsidR="00980BB2" w:rsidRPr="00980BB2" w14:paraId="7A3370DC" w14:textId="77777777" w:rsidTr="00E478FA">
        <w:trPr>
          <w:trHeight w:val="300"/>
          <w:jc w:val="center"/>
        </w:trPr>
        <w:tc>
          <w:tcPr>
            <w:tcW w:w="1234" w:type="pct"/>
            <w:shd w:val="clear" w:color="auto" w:fill="auto"/>
            <w:noWrap/>
            <w:vAlign w:val="center"/>
          </w:tcPr>
          <w:p w14:paraId="0DFFEDB6" w14:textId="77777777" w:rsidR="00980BB2" w:rsidRPr="00980BB2" w:rsidRDefault="00980BB2" w:rsidP="00980BB2">
            <w:pPr>
              <w:suppressAutoHyphens w:val="0"/>
              <w:jc w:val="center"/>
              <w:rPr>
                <w:rFonts w:eastAsia="Calibri"/>
                <w:lang w:eastAsia="en-US"/>
              </w:rPr>
            </w:pPr>
            <w:r w:rsidRPr="00980BB2">
              <w:rPr>
                <w:rFonts w:eastAsia="Calibri"/>
                <w:lang w:eastAsia="en-US"/>
              </w:rPr>
              <w:t>9</w:t>
            </w:r>
          </w:p>
        </w:tc>
        <w:tc>
          <w:tcPr>
            <w:tcW w:w="1341" w:type="pct"/>
            <w:shd w:val="clear" w:color="auto" w:fill="auto"/>
            <w:noWrap/>
            <w:vAlign w:val="center"/>
            <w:hideMark/>
          </w:tcPr>
          <w:p w14:paraId="2E4F0FBF" w14:textId="16698D7F" w:rsidR="00980BB2" w:rsidRPr="00980BB2" w:rsidRDefault="00980BB2" w:rsidP="00980BB2">
            <w:pPr>
              <w:suppressAutoHyphens w:val="0"/>
              <w:jc w:val="center"/>
              <w:rPr>
                <w:vertAlign w:val="superscript"/>
                <w:lang w:eastAsia="en-US"/>
              </w:rPr>
            </w:pPr>
            <w:r w:rsidRPr="00980BB2">
              <w:rPr>
                <w:lang w:eastAsia="en-US"/>
              </w:rPr>
              <w:t>0</w:t>
            </w:r>
            <w:r w:rsidR="00E478FA" w:rsidRPr="008E781F">
              <w:rPr>
                <w:lang w:eastAsia="en-US"/>
              </w:rPr>
              <w:t>.</w:t>
            </w:r>
            <w:r w:rsidRPr="00980BB2">
              <w:rPr>
                <w:lang w:eastAsia="en-US"/>
              </w:rPr>
              <w:t>634</w:t>
            </w:r>
          </w:p>
        </w:tc>
        <w:tc>
          <w:tcPr>
            <w:tcW w:w="1341" w:type="pct"/>
            <w:vMerge/>
            <w:tcBorders>
              <w:bottom w:val="single" w:sz="4" w:space="0" w:color="auto"/>
            </w:tcBorders>
            <w:shd w:val="clear" w:color="auto" w:fill="auto"/>
            <w:noWrap/>
            <w:vAlign w:val="center"/>
            <w:hideMark/>
          </w:tcPr>
          <w:p w14:paraId="2A1BE7CE" w14:textId="77777777" w:rsidR="00980BB2" w:rsidRPr="00980BB2" w:rsidRDefault="00980BB2" w:rsidP="00980BB2">
            <w:pPr>
              <w:suppressAutoHyphens w:val="0"/>
              <w:jc w:val="center"/>
              <w:rPr>
                <w:rFonts w:eastAsia="Calibri"/>
                <w:sz w:val="22"/>
                <w:szCs w:val="22"/>
                <w:lang w:eastAsia="en-US"/>
              </w:rPr>
            </w:pPr>
          </w:p>
        </w:tc>
        <w:tc>
          <w:tcPr>
            <w:tcW w:w="1085" w:type="pct"/>
            <w:shd w:val="clear" w:color="auto" w:fill="auto"/>
            <w:noWrap/>
            <w:vAlign w:val="center"/>
            <w:hideMark/>
          </w:tcPr>
          <w:p w14:paraId="0B98A660" w14:textId="77777777" w:rsidR="00980BB2" w:rsidRPr="00980BB2" w:rsidRDefault="00980BB2" w:rsidP="00980BB2">
            <w:pPr>
              <w:suppressAutoHyphens w:val="0"/>
              <w:contextualSpacing/>
              <w:jc w:val="center"/>
              <w:rPr>
                <w:lang w:eastAsia="en-US"/>
              </w:rPr>
            </w:pPr>
            <w:r w:rsidRPr="00980BB2">
              <w:rPr>
                <w:lang w:eastAsia="en-US"/>
              </w:rPr>
              <w:t>valid</w:t>
            </w:r>
          </w:p>
        </w:tc>
      </w:tr>
      <w:tr w:rsidR="00980BB2" w:rsidRPr="00980BB2" w14:paraId="09CFE9FB" w14:textId="77777777" w:rsidTr="00E478FA">
        <w:trPr>
          <w:trHeight w:val="300"/>
          <w:jc w:val="center"/>
        </w:trPr>
        <w:tc>
          <w:tcPr>
            <w:tcW w:w="1234" w:type="pct"/>
            <w:shd w:val="clear" w:color="auto" w:fill="auto"/>
            <w:noWrap/>
            <w:vAlign w:val="center"/>
          </w:tcPr>
          <w:p w14:paraId="227DACC6" w14:textId="77777777" w:rsidR="00980BB2" w:rsidRPr="00980BB2" w:rsidRDefault="00980BB2" w:rsidP="00980BB2">
            <w:pPr>
              <w:suppressAutoHyphens w:val="0"/>
              <w:jc w:val="center"/>
              <w:rPr>
                <w:rFonts w:eastAsia="Calibri"/>
                <w:lang w:eastAsia="en-US"/>
              </w:rPr>
            </w:pPr>
            <w:r w:rsidRPr="00980BB2">
              <w:rPr>
                <w:rFonts w:eastAsia="Calibri"/>
                <w:lang w:eastAsia="en-US"/>
              </w:rPr>
              <w:t>10</w:t>
            </w:r>
          </w:p>
        </w:tc>
        <w:tc>
          <w:tcPr>
            <w:tcW w:w="1341" w:type="pct"/>
            <w:shd w:val="clear" w:color="auto" w:fill="auto"/>
            <w:noWrap/>
            <w:vAlign w:val="center"/>
            <w:hideMark/>
          </w:tcPr>
          <w:p w14:paraId="4A59DD5A" w14:textId="655A51B6" w:rsidR="00980BB2" w:rsidRPr="00980BB2" w:rsidRDefault="00980BB2" w:rsidP="00980BB2">
            <w:pPr>
              <w:suppressAutoHyphens w:val="0"/>
              <w:jc w:val="center"/>
              <w:rPr>
                <w:vertAlign w:val="superscript"/>
                <w:lang w:eastAsia="en-US"/>
              </w:rPr>
            </w:pPr>
            <w:r w:rsidRPr="00980BB2">
              <w:rPr>
                <w:lang w:eastAsia="en-US"/>
              </w:rPr>
              <w:t>0</w:t>
            </w:r>
            <w:r w:rsidR="00E478FA" w:rsidRPr="008E781F">
              <w:rPr>
                <w:lang w:eastAsia="en-US"/>
              </w:rPr>
              <w:t>.</w:t>
            </w:r>
            <w:r w:rsidRPr="00980BB2">
              <w:rPr>
                <w:lang w:eastAsia="en-US"/>
              </w:rPr>
              <w:t>503</w:t>
            </w:r>
          </w:p>
        </w:tc>
        <w:tc>
          <w:tcPr>
            <w:tcW w:w="1341" w:type="pct"/>
            <w:vMerge/>
            <w:tcBorders>
              <w:bottom w:val="single" w:sz="4" w:space="0" w:color="auto"/>
            </w:tcBorders>
            <w:shd w:val="clear" w:color="auto" w:fill="auto"/>
            <w:noWrap/>
            <w:vAlign w:val="center"/>
            <w:hideMark/>
          </w:tcPr>
          <w:p w14:paraId="748DB316" w14:textId="77777777" w:rsidR="00980BB2" w:rsidRPr="00980BB2" w:rsidRDefault="00980BB2" w:rsidP="00980BB2">
            <w:pPr>
              <w:suppressAutoHyphens w:val="0"/>
              <w:jc w:val="center"/>
              <w:rPr>
                <w:rFonts w:eastAsia="Calibri"/>
                <w:sz w:val="22"/>
                <w:szCs w:val="22"/>
                <w:lang w:eastAsia="en-US"/>
              </w:rPr>
            </w:pPr>
          </w:p>
        </w:tc>
        <w:tc>
          <w:tcPr>
            <w:tcW w:w="1085" w:type="pct"/>
            <w:shd w:val="clear" w:color="auto" w:fill="auto"/>
            <w:noWrap/>
            <w:vAlign w:val="center"/>
            <w:hideMark/>
          </w:tcPr>
          <w:p w14:paraId="7B1C5AAF" w14:textId="77777777" w:rsidR="00980BB2" w:rsidRPr="00980BB2" w:rsidRDefault="00980BB2" w:rsidP="00980BB2">
            <w:pPr>
              <w:suppressAutoHyphens w:val="0"/>
              <w:contextualSpacing/>
              <w:jc w:val="center"/>
              <w:rPr>
                <w:lang w:eastAsia="en-US"/>
              </w:rPr>
            </w:pPr>
            <w:r w:rsidRPr="00980BB2">
              <w:rPr>
                <w:lang w:eastAsia="en-US"/>
              </w:rPr>
              <w:t>valid</w:t>
            </w:r>
          </w:p>
        </w:tc>
      </w:tr>
      <w:tr w:rsidR="00980BB2" w:rsidRPr="00980BB2" w14:paraId="294BFD51" w14:textId="77777777" w:rsidTr="00E478FA">
        <w:trPr>
          <w:trHeight w:val="300"/>
          <w:jc w:val="center"/>
        </w:trPr>
        <w:tc>
          <w:tcPr>
            <w:tcW w:w="1234" w:type="pct"/>
            <w:shd w:val="clear" w:color="auto" w:fill="auto"/>
            <w:noWrap/>
            <w:vAlign w:val="center"/>
          </w:tcPr>
          <w:p w14:paraId="08500626" w14:textId="77777777" w:rsidR="00980BB2" w:rsidRPr="00980BB2" w:rsidRDefault="00980BB2" w:rsidP="00980BB2">
            <w:pPr>
              <w:suppressAutoHyphens w:val="0"/>
              <w:jc w:val="center"/>
              <w:rPr>
                <w:rFonts w:eastAsia="Calibri"/>
                <w:lang w:eastAsia="en-US"/>
              </w:rPr>
            </w:pPr>
            <w:r w:rsidRPr="00980BB2">
              <w:rPr>
                <w:rFonts w:eastAsia="Calibri"/>
                <w:lang w:eastAsia="en-US"/>
              </w:rPr>
              <w:t>11</w:t>
            </w:r>
          </w:p>
        </w:tc>
        <w:tc>
          <w:tcPr>
            <w:tcW w:w="1341" w:type="pct"/>
            <w:shd w:val="clear" w:color="auto" w:fill="auto"/>
            <w:noWrap/>
            <w:vAlign w:val="center"/>
            <w:hideMark/>
          </w:tcPr>
          <w:p w14:paraId="0108899E" w14:textId="23034BE7" w:rsidR="00980BB2" w:rsidRPr="00980BB2" w:rsidRDefault="00980BB2" w:rsidP="00980BB2">
            <w:pPr>
              <w:suppressAutoHyphens w:val="0"/>
              <w:jc w:val="center"/>
              <w:rPr>
                <w:vertAlign w:val="superscript"/>
                <w:lang w:eastAsia="en-US"/>
              </w:rPr>
            </w:pPr>
            <w:r w:rsidRPr="00980BB2">
              <w:rPr>
                <w:lang w:eastAsia="en-US"/>
              </w:rPr>
              <w:t>0</w:t>
            </w:r>
            <w:r w:rsidR="00E478FA" w:rsidRPr="008E781F">
              <w:rPr>
                <w:lang w:eastAsia="en-US"/>
              </w:rPr>
              <w:t>.</w:t>
            </w:r>
            <w:r w:rsidRPr="00980BB2">
              <w:rPr>
                <w:lang w:eastAsia="en-US"/>
              </w:rPr>
              <w:t>622</w:t>
            </w:r>
          </w:p>
        </w:tc>
        <w:tc>
          <w:tcPr>
            <w:tcW w:w="1341" w:type="pct"/>
            <w:vMerge/>
            <w:tcBorders>
              <w:bottom w:val="single" w:sz="4" w:space="0" w:color="auto"/>
            </w:tcBorders>
            <w:shd w:val="clear" w:color="auto" w:fill="auto"/>
            <w:noWrap/>
            <w:vAlign w:val="center"/>
            <w:hideMark/>
          </w:tcPr>
          <w:p w14:paraId="3F943383" w14:textId="77777777" w:rsidR="00980BB2" w:rsidRPr="00980BB2" w:rsidRDefault="00980BB2" w:rsidP="00980BB2">
            <w:pPr>
              <w:suppressAutoHyphens w:val="0"/>
              <w:jc w:val="center"/>
              <w:rPr>
                <w:rFonts w:eastAsia="Calibri"/>
                <w:sz w:val="22"/>
                <w:szCs w:val="22"/>
                <w:lang w:eastAsia="en-US"/>
              </w:rPr>
            </w:pPr>
          </w:p>
        </w:tc>
        <w:tc>
          <w:tcPr>
            <w:tcW w:w="1085" w:type="pct"/>
            <w:shd w:val="clear" w:color="auto" w:fill="auto"/>
            <w:noWrap/>
            <w:vAlign w:val="center"/>
            <w:hideMark/>
          </w:tcPr>
          <w:p w14:paraId="3388FC83" w14:textId="77777777" w:rsidR="00980BB2" w:rsidRPr="00980BB2" w:rsidRDefault="00980BB2" w:rsidP="00980BB2">
            <w:pPr>
              <w:suppressAutoHyphens w:val="0"/>
              <w:contextualSpacing/>
              <w:jc w:val="center"/>
              <w:rPr>
                <w:lang w:eastAsia="en-US"/>
              </w:rPr>
            </w:pPr>
            <w:r w:rsidRPr="00980BB2">
              <w:rPr>
                <w:lang w:eastAsia="en-US"/>
              </w:rPr>
              <w:t>valid</w:t>
            </w:r>
          </w:p>
        </w:tc>
      </w:tr>
      <w:tr w:rsidR="00980BB2" w:rsidRPr="00980BB2" w14:paraId="3B0D3558" w14:textId="77777777" w:rsidTr="00E478FA">
        <w:trPr>
          <w:trHeight w:val="300"/>
          <w:jc w:val="center"/>
        </w:trPr>
        <w:tc>
          <w:tcPr>
            <w:tcW w:w="1234" w:type="pct"/>
            <w:shd w:val="clear" w:color="auto" w:fill="auto"/>
            <w:noWrap/>
            <w:vAlign w:val="center"/>
          </w:tcPr>
          <w:p w14:paraId="6341CA17" w14:textId="77777777" w:rsidR="00980BB2" w:rsidRPr="00980BB2" w:rsidRDefault="00980BB2" w:rsidP="00980BB2">
            <w:pPr>
              <w:suppressAutoHyphens w:val="0"/>
              <w:jc w:val="center"/>
              <w:rPr>
                <w:rFonts w:eastAsia="Calibri"/>
                <w:lang w:eastAsia="en-US"/>
              </w:rPr>
            </w:pPr>
            <w:r w:rsidRPr="00980BB2">
              <w:rPr>
                <w:rFonts w:eastAsia="Calibri"/>
                <w:lang w:eastAsia="en-US"/>
              </w:rPr>
              <w:t>12</w:t>
            </w:r>
          </w:p>
        </w:tc>
        <w:tc>
          <w:tcPr>
            <w:tcW w:w="1341" w:type="pct"/>
            <w:shd w:val="clear" w:color="auto" w:fill="auto"/>
            <w:noWrap/>
            <w:vAlign w:val="center"/>
            <w:hideMark/>
          </w:tcPr>
          <w:p w14:paraId="6DF2C100" w14:textId="670CED66" w:rsidR="00980BB2" w:rsidRPr="00980BB2" w:rsidRDefault="00980BB2" w:rsidP="00980BB2">
            <w:pPr>
              <w:suppressAutoHyphens w:val="0"/>
              <w:jc w:val="center"/>
              <w:rPr>
                <w:vertAlign w:val="superscript"/>
                <w:lang w:eastAsia="en-US"/>
              </w:rPr>
            </w:pPr>
            <w:r w:rsidRPr="00980BB2">
              <w:rPr>
                <w:lang w:eastAsia="en-US"/>
              </w:rPr>
              <w:t>0</w:t>
            </w:r>
            <w:r w:rsidR="00E478FA" w:rsidRPr="008E781F">
              <w:rPr>
                <w:lang w:eastAsia="en-US"/>
              </w:rPr>
              <w:t>.</w:t>
            </w:r>
            <w:r w:rsidRPr="00980BB2">
              <w:rPr>
                <w:lang w:eastAsia="en-US"/>
              </w:rPr>
              <w:t>452</w:t>
            </w:r>
          </w:p>
        </w:tc>
        <w:tc>
          <w:tcPr>
            <w:tcW w:w="1341" w:type="pct"/>
            <w:vMerge/>
            <w:tcBorders>
              <w:bottom w:val="single" w:sz="4" w:space="0" w:color="auto"/>
            </w:tcBorders>
            <w:shd w:val="clear" w:color="auto" w:fill="auto"/>
            <w:noWrap/>
            <w:vAlign w:val="center"/>
            <w:hideMark/>
          </w:tcPr>
          <w:p w14:paraId="14E30561" w14:textId="77777777" w:rsidR="00980BB2" w:rsidRPr="00980BB2" w:rsidRDefault="00980BB2" w:rsidP="00980BB2">
            <w:pPr>
              <w:suppressAutoHyphens w:val="0"/>
              <w:jc w:val="center"/>
              <w:rPr>
                <w:rFonts w:eastAsia="Calibri"/>
                <w:sz w:val="22"/>
                <w:szCs w:val="22"/>
                <w:lang w:eastAsia="en-US"/>
              </w:rPr>
            </w:pPr>
          </w:p>
        </w:tc>
        <w:tc>
          <w:tcPr>
            <w:tcW w:w="1085" w:type="pct"/>
            <w:shd w:val="clear" w:color="auto" w:fill="auto"/>
            <w:noWrap/>
            <w:vAlign w:val="center"/>
            <w:hideMark/>
          </w:tcPr>
          <w:p w14:paraId="64520EC3" w14:textId="77777777" w:rsidR="00980BB2" w:rsidRPr="00980BB2" w:rsidRDefault="00980BB2" w:rsidP="00980BB2">
            <w:pPr>
              <w:suppressAutoHyphens w:val="0"/>
              <w:contextualSpacing/>
              <w:jc w:val="center"/>
              <w:rPr>
                <w:lang w:eastAsia="en-US"/>
              </w:rPr>
            </w:pPr>
            <w:r w:rsidRPr="00980BB2">
              <w:rPr>
                <w:lang w:eastAsia="en-US"/>
              </w:rPr>
              <w:t>valid</w:t>
            </w:r>
          </w:p>
        </w:tc>
      </w:tr>
      <w:tr w:rsidR="00980BB2" w:rsidRPr="00980BB2" w14:paraId="52337126" w14:textId="77777777" w:rsidTr="00E478FA">
        <w:trPr>
          <w:trHeight w:val="300"/>
          <w:jc w:val="center"/>
        </w:trPr>
        <w:tc>
          <w:tcPr>
            <w:tcW w:w="1234" w:type="pct"/>
            <w:shd w:val="clear" w:color="auto" w:fill="auto"/>
            <w:noWrap/>
            <w:vAlign w:val="center"/>
          </w:tcPr>
          <w:p w14:paraId="04C43708" w14:textId="77777777" w:rsidR="00980BB2" w:rsidRPr="00980BB2" w:rsidRDefault="00980BB2" w:rsidP="00980BB2">
            <w:pPr>
              <w:suppressAutoHyphens w:val="0"/>
              <w:jc w:val="center"/>
              <w:rPr>
                <w:rFonts w:eastAsia="Calibri"/>
                <w:lang w:eastAsia="en-US"/>
              </w:rPr>
            </w:pPr>
            <w:r w:rsidRPr="00980BB2">
              <w:rPr>
                <w:rFonts w:eastAsia="Calibri"/>
                <w:lang w:eastAsia="en-US"/>
              </w:rPr>
              <w:t>13</w:t>
            </w:r>
          </w:p>
        </w:tc>
        <w:tc>
          <w:tcPr>
            <w:tcW w:w="1341" w:type="pct"/>
            <w:shd w:val="clear" w:color="auto" w:fill="auto"/>
            <w:noWrap/>
            <w:vAlign w:val="center"/>
            <w:hideMark/>
          </w:tcPr>
          <w:p w14:paraId="767FDB03" w14:textId="6A7E1BBF" w:rsidR="00980BB2" w:rsidRPr="00980BB2" w:rsidRDefault="00980BB2" w:rsidP="00980BB2">
            <w:pPr>
              <w:suppressAutoHyphens w:val="0"/>
              <w:jc w:val="center"/>
              <w:rPr>
                <w:vertAlign w:val="superscript"/>
                <w:lang w:eastAsia="en-US"/>
              </w:rPr>
            </w:pPr>
            <w:r w:rsidRPr="00980BB2">
              <w:rPr>
                <w:lang w:eastAsia="en-US"/>
              </w:rPr>
              <w:t>0</w:t>
            </w:r>
            <w:r w:rsidR="00E478FA" w:rsidRPr="008E781F">
              <w:rPr>
                <w:lang w:eastAsia="en-US"/>
              </w:rPr>
              <w:t>.</w:t>
            </w:r>
            <w:r w:rsidRPr="00980BB2">
              <w:rPr>
                <w:lang w:eastAsia="en-US"/>
              </w:rPr>
              <w:t>692</w:t>
            </w:r>
          </w:p>
        </w:tc>
        <w:tc>
          <w:tcPr>
            <w:tcW w:w="1341" w:type="pct"/>
            <w:vMerge/>
            <w:tcBorders>
              <w:bottom w:val="single" w:sz="4" w:space="0" w:color="auto"/>
            </w:tcBorders>
            <w:shd w:val="clear" w:color="auto" w:fill="auto"/>
            <w:noWrap/>
            <w:vAlign w:val="center"/>
            <w:hideMark/>
          </w:tcPr>
          <w:p w14:paraId="2201E945" w14:textId="77777777" w:rsidR="00980BB2" w:rsidRPr="00980BB2" w:rsidRDefault="00980BB2" w:rsidP="00980BB2">
            <w:pPr>
              <w:suppressAutoHyphens w:val="0"/>
              <w:jc w:val="center"/>
              <w:rPr>
                <w:rFonts w:eastAsia="Calibri"/>
                <w:sz w:val="22"/>
                <w:szCs w:val="22"/>
                <w:lang w:eastAsia="en-US"/>
              </w:rPr>
            </w:pPr>
          </w:p>
        </w:tc>
        <w:tc>
          <w:tcPr>
            <w:tcW w:w="1085" w:type="pct"/>
            <w:shd w:val="clear" w:color="auto" w:fill="auto"/>
            <w:noWrap/>
            <w:vAlign w:val="center"/>
            <w:hideMark/>
          </w:tcPr>
          <w:p w14:paraId="3E5EB430" w14:textId="77777777" w:rsidR="00980BB2" w:rsidRPr="00980BB2" w:rsidRDefault="00980BB2" w:rsidP="00980BB2">
            <w:pPr>
              <w:suppressAutoHyphens w:val="0"/>
              <w:contextualSpacing/>
              <w:jc w:val="center"/>
              <w:rPr>
                <w:lang w:eastAsia="en-US"/>
              </w:rPr>
            </w:pPr>
            <w:r w:rsidRPr="00980BB2">
              <w:rPr>
                <w:lang w:eastAsia="en-US"/>
              </w:rPr>
              <w:t>valid</w:t>
            </w:r>
          </w:p>
        </w:tc>
      </w:tr>
      <w:tr w:rsidR="00980BB2" w:rsidRPr="00980BB2" w14:paraId="77F0A665" w14:textId="77777777" w:rsidTr="00E478FA">
        <w:trPr>
          <w:trHeight w:val="300"/>
          <w:jc w:val="center"/>
        </w:trPr>
        <w:tc>
          <w:tcPr>
            <w:tcW w:w="1234" w:type="pct"/>
            <w:shd w:val="clear" w:color="auto" w:fill="auto"/>
            <w:noWrap/>
            <w:vAlign w:val="center"/>
          </w:tcPr>
          <w:p w14:paraId="1A88A53C" w14:textId="77777777" w:rsidR="00980BB2" w:rsidRPr="00980BB2" w:rsidRDefault="00980BB2" w:rsidP="00980BB2">
            <w:pPr>
              <w:suppressAutoHyphens w:val="0"/>
              <w:jc w:val="center"/>
              <w:rPr>
                <w:rFonts w:eastAsia="Calibri"/>
                <w:lang w:eastAsia="en-US"/>
              </w:rPr>
            </w:pPr>
            <w:r w:rsidRPr="00980BB2">
              <w:rPr>
                <w:rFonts w:eastAsia="Calibri"/>
                <w:lang w:eastAsia="en-US"/>
              </w:rPr>
              <w:t>14</w:t>
            </w:r>
          </w:p>
        </w:tc>
        <w:tc>
          <w:tcPr>
            <w:tcW w:w="1341" w:type="pct"/>
            <w:shd w:val="clear" w:color="auto" w:fill="auto"/>
            <w:noWrap/>
            <w:vAlign w:val="center"/>
            <w:hideMark/>
          </w:tcPr>
          <w:p w14:paraId="0737ADE4" w14:textId="00A0C19F" w:rsidR="00980BB2" w:rsidRPr="00980BB2" w:rsidRDefault="00980BB2" w:rsidP="00980BB2">
            <w:pPr>
              <w:suppressAutoHyphens w:val="0"/>
              <w:jc w:val="center"/>
              <w:rPr>
                <w:vertAlign w:val="superscript"/>
                <w:lang w:eastAsia="en-US"/>
              </w:rPr>
            </w:pPr>
            <w:r w:rsidRPr="00980BB2">
              <w:rPr>
                <w:lang w:eastAsia="en-US"/>
              </w:rPr>
              <w:t>0</w:t>
            </w:r>
            <w:r w:rsidR="00E478FA" w:rsidRPr="008E781F">
              <w:rPr>
                <w:lang w:eastAsia="en-US"/>
              </w:rPr>
              <w:t>.</w:t>
            </w:r>
            <w:r w:rsidRPr="00980BB2">
              <w:rPr>
                <w:lang w:eastAsia="en-US"/>
              </w:rPr>
              <w:t>453</w:t>
            </w:r>
          </w:p>
        </w:tc>
        <w:tc>
          <w:tcPr>
            <w:tcW w:w="1341" w:type="pct"/>
            <w:vMerge/>
            <w:tcBorders>
              <w:bottom w:val="single" w:sz="4" w:space="0" w:color="auto"/>
            </w:tcBorders>
            <w:shd w:val="clear" w:color="auto" w:fill="auto"/>
            <w:noWrap/>
            <w:vAlign w:val="center"/>
            <w:hideMark/>
          </w:tcPr>
          <w:p w14:paraId="7E16B50D" w14:textId="77777777" w:rsidR="00980BB2" w:rsidRPr="00980BB2" w:rsidRDefault="00980BB2" w:rsidP="00980BB2">
            <w:pPr>
              <w:suppressAutoHyphens w:val="0"/>
              <w:jc w:val="center"/>
              <w:rPr>
                <w:rFonts w:eastAsia="Calibri"/>
                <w:sz w:val="22"/>
                <w:szCs w:val="22"/>
                <w:lang w:eastAsia="en-US"/>
              </w:rPr>
            </w:pPr>
          </w:p>
        </w:tc>
        <w:tc>
          <w:tcPr>
            <w:tcW w:w="1085" w:type="pct"/>
            <w:shd w:val="clear" w:color="auto" w:fill="auto"/>
            <w:noWrap/>
            <w:vAlign w:val="center"/>
            <w:hideMark/>
          </w:tcPr>
          <w:p w14:paraId="482CC0E3" w14:textId="77777777" w:rsidR="00980BB2" w:rsidRPr="00980BB2" w:rsidRDefault="00980BB2" w:rsidP="00980BB2">
            <w:pPr>
              <w:suppressAutoHyphens w:val="0"/>
              <w:contextualSpacing/>
              <w:jc w:val="center"/>
              <w:rPr>
                <w:lang w:eastAsia="en-US"/>
              </w:rPr>
            </w:pPr>
            <w:r w:rsidRPr="00980BB2">
              <w:rPr>
                <w:lang w:eastAsia="en-US"/>
              </w:rPr>
              <w:t>valid</w:t>
            </w:r>
          </w:p>
        </w:tc>
      </w:tr>
      <w:tr w:rsidR="00980BB2" w:rsidRPr="00980BB2" w14:paraId="1420A585" w14:textId="77777777" w:rsidTr="00E478FA">
        <w:trPr>
          <w:trHeight w:val="300"/>
          <w:jc w:val="center"/>
        </w:trPr>
        <w:tc>
          <w:tcPr>
            <w:tcW w:w="1234" w:type="pct"/>
            <w:shd w:val="clear" w:color="auto" w:fill="auto"/>
            <w:noWrap/>
            <w:vAlign w:val="center"/>
          </w:tcPr>
          <w:p w14:paraId="662C5A0A" w14:textId="77777777" w:rsidR="00980BB2" w:rsidRPr="00980BB2" w:rsidRDefault="00980BB2" w:rsidP="00980BB2">
            <w:pPr>
              <w:suppressAutoHyphens w:val="0"/>
              <w:jc w:val="center"/>
              <w:rPr>
                <w:rFonts w:eastAsia="Calibri"/>
                <w:lang w:eastAsia="en-US"/>
              </w:rPr>
            </w:pPr>
            <w:r w:rsidRPr="00980BB2">
              <w:rPr>
                <w:rFonts w:eastAsia="Calibri"/>
                <w:lang w:eastAsia="en-US"/>
              </w:rPr>
              <w:t>15</w:t>
            </w:r>
          </w:p>
        </w:tc>
        <w:tc>
          <w:tcPr>
            <w:tcW w:w="1341" w:type="pct"/>
            <w:shd w:val="clear" w:color="auto" w:fill="auto"/>
            <w:noWrap/>
            <w:vAlign w:val="center"/>
            <w:hideMark/>
          </w:tcPr>
          <w:p w14:paraId="4E871A75" w14:textId="0E1CAC37" w:rsidR="00980BB2" w:rsidRPr="00980BB2" w:rsidRDefault="00980BB2" w:rsidP="00980BB2">
            <w:pPr>
              <w:suppressAutoHyphens w:val="0"/>
              <w:jc w:val="center"/>
              <w:rPr>
                <w:vertAlign w:val="superscript"/>
                <w:lang w:eastAsia="en-US"/>
              </w:rPr>
            </w:pPr>
            <w:r w:rsidRPr="00980BB2">
              <w:rPr>
                <w:lang w:eastAsia="en-US"/>
              </w:rPr>
              <w:t>0</w:t>
            </w:r>
            <w:r w:rsidR="00E478FA" w:rsidRPr="008E781F">
              <w:rPr>
                <w:lang w:eastAsia="en-US"/>
              </w:rPr>
              <w:t>.</w:t>
            </w:r>
            <w:r w:rsidRPr="00980BB2">
              <w:rPr>
                <w:lang w:eastAsia="en-US"/>
              </w:rPr>
              <w:t>452</w:t>
            </w:r>
          </w:p>
        </w:tc>
        <w:tc>
          <w:tcPr>
            <w:tcW w:w="1341" w:type="pct"/>
            <w:vMerge/>
            <w:tcBorders>
              <w:bottom w:val="single" w:sz="4" w:space="0" w:color="auto"/>
            </w:tcBorders>
            <w:shd w:val="clear" w:color="auto" w:fill="auto"/>
            <w:noWrap/>
            <w:vAlign w:val="center"/>
            <w:hideMark/>
          </w:tcPr>
          <w:p w14:paraId="300ED8C4" w14:textId="77777777" w:rsidR="00980BB2" w:rsidRPr="00980BB2" w:rsidRDefault="00980BB2" w:rsidP="00980BB2">
            <w:pPr>
              <w:suppressAutoHyphens w:val="0"/>
              <w:jc w:val="center"/>
              <w:rPr>
                <w:rFonts w:eastAsia="Calibri"/>
                <w:sz w:val="22"/>
                <w:szCs w:val="22"/>
                <w:lang w:eastAsia="en-US"/>
              </w:rPr>
            </w:pPr>
          </w:p>
        </w:tc>
        <w:tc>
          <w:tcPr>
            <w:tcW w:w="1085" w:type="pct"/>
            <w:shd w:val="clear" w:color="auto" w:fill="auto"/>
            <w:noWrap/>
            <w:vAlign w:val="center"/>
            <w:hideMark/>
          </w:tcPr>
          <w:p w14:paraId="449E9E03" w14:textId="77777777" w:rsidR="00980BB2" w:rsidRPr="00980BB2" w:rsidRDefault="00980BB2" w:rsidP="00980BB2">
            <w:pPr>
              <w:suppressAutoHyphens w:val="0"/>
              <w:contextualSpacing/>
              <w:jc w:val="center"/>
              <w:rPr>
                <w:lang w:eastAsia="en-US"/>
              </w:rPr>
            </w:pPr>
            <w:r w:rsidRPr="00980BB2">
              <w:rPr>
                <w:lang w:eastAsia="en-US"/>
              </w:rPr>
              <w:t>valid</w:t>
            </w:r>
          </w:p>
        </w:tc>
      </w:tr>
      <w:tr w:rsidR="00980BB2" w:rsidRPr="00980BB2" w14:paraId="6F4B9B16" w14:textId="77777777" w:rsidTr="00E478FA">
        <w:trPr>
          <w:trHeight w:val="300"/>
          <w:jc w:val="center"/>
        </w:trPr>
        <w:tc>
          <w:tcPr>
            <w:tcW w:w="1234" w:type="pct"/>
            <w:shd w:val="clear" w:color="auto" w:fill="auto"/>
            <w:noWrap/>
            <w:vAlign w:val="center"/>
          </w:tcPr>
          <w:p w14:paraId="437A9D48" w14:textId="77777777" w:rsidR="00980BB2" w:rsidRPr="00980BB2" w:rsidRDefault="00980BB2" w:rsidP="00980BB2">
            <w:pPr>
              <w:suppressAutoHyphens w:val="0"/>
              <w:jc w:val="center"/>
              <w:rPr>
                <w:rFonts w:eastAsia="Calibri"/>
                <w:lang w:eastAsia="en-US"/>
              </w:rPr>
            </w:pPr>
            <w:r w:rsidRPr="00980BB2">
              <w:rPr>
                <w:rFonts w:eastAsia="Calibri"/>
                <w:lang w:eastAsia="en-US"/>
              </w:rPr>
              <w:t>16</w:t>
            </w:r>
          </w:p>
        </w:tc>
        <w:tc>
          <w:tcPr>
            <w:tcW w:w="1341" w:type="pct"/>
            <w:shd w:val="clear" w:color="auto" w:fill="auto"/>
            <w:noWrap/>
            <w:vAlign w:val="center"/>
            <w:hideMark/>
          </w:tcPr>
          <w:p w14:paraId="51F0B550" w14:textId="1F4E56A4" w:rsidR="00980BB2" w:rsidRPr="00980BB2" w:rsidRDefault="00980BB2" w:rsidP="00980BB2">
            <w:pPr>
              <w:suppressAutoHyphens w:val="0"/>
              <w:jc w:val="center"/>
              <w:rPr>
                <w:vertAlign w:val="superscript"/>
                <w:lang w:eastAsia="en-US"/>
              </w:rPr>
            </w:pPr>
            <w:r w:rsidRPr="00980BB2">
              <w:rPr>
                <w:lang w:eastAsia="en-US"/>
              </w:rPr>
              <w:t>0</w:t>
            </w:r>
            <w:r w:rsidR="00E478FA" w:rsidRPr="008E781F">
              <w:rPr>
                <w:lang w:eastAsia="en-US"/>
              </w:rPr>
              <w:t>.</w:t>
            </w:r>
            <w:r w:rsidRPr="00980BB2">
              <w:rPr>
                <w:lang w:eastAsia="en-US"/>
              </w:rPr>
              <w:t>604</w:t>
            </w:r>
          </w:p>
        </w:tc>
        <w:tc>
          <w:tcPr>
            <w:tcW w:w="1341" w:type="pct"/>
            <w:vMerge/>
            <w:shd w:val="clear" w:color="auto" w:fill="auto"/>
            <w:noWrap/>
            <w:vAlign w:val="center"/>
            <w:hideMark/>
          </w:tcPr>
          <w:p w14:paraId="1A6895F5" w14:textId="77777777" w:rsidR="00980BB2" w:rsidRPr="00980BB2" w:rsidRDefault="00980BB2" w:rsidP="00980BB2">
            <w:pPr>
              <w:suppressAutoHyphens w:val="0"/>
              <w:jc w:val="center"/>
              <w:rPr>
                <w:rFonts w:eastAsia="Calibri"/>
                <w:sz w:val="22"/>
                <w:szCs w:val="22"/>
                <w:lang w:eastAsia="en-US"/>
              </w:rPr>
            </w:pPr>
          </w:p>
        </w:tc>
        <w:tc>
          <w:tcPr>
            <w:tcW w:w="1085" w:type="pct"/>
            <w:shd w:val="clear" w:color="auto" w:fill="auto"/>
            <w:noWrap/>
            <w:vAlign w:val="center"/>
            <w:hideMark/>
          </w:tcPr>
          <w:p w14:paraId="394D8DF4" w14:textId="77777777" w:rsidR="00980BB2" w:rsidRPr="00980BB2" w:rsidRDefault="00980BB2" w:rsidP="00980BB2">
            <w:pPr>
              <w:suppressAutoHyphens w:val="0"/>
              <w:contextualSpacing/>
              <w:jc w:val="center"/>
              <w:rPr>
                <w:lang w:eastAsia="en-US"/>
              </w:rPr>
            </w:pPr>
            <w:r w:rsidRPr="00980BB2">
              <w:rPr>
                <w:lang w:eastAsia="en-US"/>
              </w:rPr>
              <w:t>valid</w:t>
            </w:r>
          </w:p>
        </w:tc>
      </w:tr>
      <w:tr w:rsidR="00980BB2" w:rsidRPr="00980BB2" w14:paraId="24E5FCC3" w14:textId="77777777" w:rsidTr="00E478FA">
        <w:trPr>
          <w:trHeight w:val="334"/>
          <w:jc w:val="center"/>
        </w:trPr>
        <w:tc>
          <w:tcPr>
            <w:tcW w:w="1234" w:type="pct"/>
            <w:shd w:val="clear" w:color="auto" w:fill="auto"/>
            <w:noWrap/>
            <w:vAlign w:val="center"/>
          </w:tcPr>
          <w:p w14:paraId="428985D7" w14:textId="77777777" w:rsidR="00980BB2" w:rsidRPr="00980BB2" w:rsidRDefault="00980BB2" w:rsidP="00980BB2">
            <w:pPr>
              <w:suppressAutoHyphens w:val="0"/>
              <w:jc w:val="center"/>
              <w:rPr>
                <w:rFonts w:eastAsia="Calibri"/>
                <w:lang w:eastAsia="en-US"/>
              </w:rPr>
            </w:pPr>
            <w:r w:rsidRPr="00980BB2">
              <w:rPr>
                <w:rFonts w:eastAsia="Calibri"/>
                <w:lang w:eastAsia="en-US"/>
              </w:rPr>
              <w:t>17</w:t>
            </w:r>
          </w:p>
        </w:tc>
        <w:tc>
          <w:tcPr>
            <w:tcW w:w="1341" w:type="pct"/>
            <w:shd w:val="clear" w:color="auto" w:fill="auto"/>
            <w:noWrap/>
            <w:vAlign w:val="center"/>
            <w:hideMark/>
          </w:tcPr>
          <w:p w14:paraId="30E063D8" w14:textId="17E9104F" w:rsidR="00980BB2" w:rsidRPr="00980BB2" w:rsidRDefault="00980BB2" w:rsidP="00980BB2">
            <w:pPr>
              <w:suppressAutoHyphens w:val="0"/>
              <w:jc w:val="center"/>
              <w:rPr>
                <w:vertAlign w:val="superscript"/>
                <w:lang w:eastAsia="en-US"/>
              </w:rPr>
            </w:pPr>
            <w:r w:rsidRPr="00980BB2">
              <w:rPr>
                <w:lang w:eastAsia="en-US"/>
              </w:rPr>
              <w:t>0</w:t>
            </w:r>
            <w:r w:rsidR="00E478FA" w:rsidRPr="008E781F">
              <w:rPr>
                <w:lang w:eastAsia="en-US"/>
              </w:rPr>
              <w:t>.</w:t>
            </w:r>
            <w:r w:rsidRPr="00980BB2">
              <w:rPr>
                <w:lang w:eastAsia="en-US"/>
              </w:rPr>
              <w:t>585</w:t>
            </w:r>
          </w:p>
        </w:tc>
        <w:tc>
          <w:tcPr>
            <w:tcW w:w="1341" w:type="pct"/>
            <w:vMerge/>
            <w:shd w:val="clear" w:color="auto" w:fill="auto"/>
            <w:noWrap/>
            <w:vAlign w:val="center"/>
            <w:hideMark/>
          </w:tcPr>
          <w:p w14:paraId="2B632E09" w14:textId="77777777" w:rsidR="00980BB2" w:rsidRPr="00980BB2" w:rsidRDefault="00980BB2" w:rsidP="00980BB2">
            <w:pPr>
              <w:suppressAutoHyphens w:val="0"/>
              <w:jc w:val="center"/>
              <w:rPr>
                <w:rFonts w:eastAsia="Calibri"/>
                <w:sz w:val="22"/>
                <w:szCs w:val="22"/>
                <w:lang w:eastAsia="en-US"/>
              </w:rPr>
            </w:pPr>
          </w:p>
        </w:tc>
        <w:tc>
          <w:tcPr>
            <w:tcW w:w="1085" w:type="pct"/>
            <w:shd w:val="clear" w:color="auto" w:fill="auto"/>
            <w:noWrap/>
            <w:vAlign w:val="center"/>
            <w:hideMark/>
          </w:tcPr>
          <w:p w14:paraId="16E9DD93" w14:textId="77777777" w:rsidR="00980BB2" w:rsidRPr="00980BB2" w:rsidRDefault="00980BB2" w:rsidP="00980BB2">
            <w:pPr>
              <w:suppressAutoHyphens w:val="0"/>
              <w:contextualSpacing/>
              <w:jc w:val="center"/>
              <w:rPr>
                <w:lang w:eastAsia="en-US"/>
              </w:rPr>
            </w:pPr>
            <w:r w:rsidRPr="00980BB2">
              <w:rPr>
                <w:lang w:eastAsia="en-US"/>
              </w:rPr>
              <w:t>valid</w:t>
            </w:r>
          </w:p>
        </w:tc>
      </w:tr>
      <w:tr w:rsidR="00980BB2" w:rsidRPr="00980BB2" w14:paraId="5724D410" w14:textId="77777777" w:rsidTr="00E478FA">
        <w:trPr>
          <w:trHeight w:val="300"/>
          <w:jc w:val="center"/>
        </w:trPr>
        <w:tc>
          <w:tcPr>
            <w:tcW w:w="1234" w:type="pct"/>
            <w:shd w:val="clear" w:color="auto" w:fill="auto"/>
            <w:noWrap/>
            <w:vAlign w:val="center"/>
          </w:tcPr>
          <w:p w14:paraId="261E8CB3" w14:textId="77777777" w:rsidR="00980BB2" w:rsidRPr="00980BB2" w:rsidRDefault="00980BB2" w:rsidP="00980BB2">
            <w:pPr>
              <w:suppressAutoHyphens w:val="0"/>
              <w:jc w:val="center"/>
              <w:rPr>
                <w:rFonts w:eastAsia="Calibri"/>
                <w:lang w:eastAsia="en-US"/>
              </w:rPr>
            </w:pPr>
            <w:r w:rsidRPr="00980BB2">
              <w:rPr>
                <w:rFonts w:eastAsia="Calibri"/>
                <w:lang w:eastAsia="en-US"/>
              </w:rPr>
              <w:lastRenderedPageBreak/>
              <w:t>18</w:t>
            </w:r>
          </w:p>
        </w:tc>
        <w:tc>
          <w:tcPr>
            <w:tcW w:w="1341" w:type="pct"/>
            <w:shd w:val="clear" w:color="auto" w:fill="auto"/>
            <w:noWrap/>
            <w:vAlign w:val="center"/>
            <w:hideMark/>
          </w:tcPr>
          <w:p w14:paraId="7D0869EB" w14:textId="5DAC0900" w:rsidR="00980BB2" w:rsidRPr="00980BB2" w:rsidRDefault="00980BB2" w:rsidP="00980BB2">
            <w:pPr>
              <w:suppressAutoHyphens w:val="0"/>
              <w:jc w:val="center"/>
              <w:rPr>
                <w:vertAlign w:val="superscript"/>
                <w:lang w:eastAsia="en-US"/>
              </w:rPr>
            </w:pPr>
            <w:r w:rsidRPr="00980BB2">
              <w:rPr>
                <w:lang w:eastAsia="en-US"/>
              </w:rPr>
              <w:t>0</w:t>
            </w:r>
            <w:r w:rsidR="00E478FA" w:rsidRPr="008E781F">
              <w:rPr>
                <w:lang w:eastAsia="en-US"/>
              </w:rPr>
              <w:t>.</w:t>
            </w:r>
            <w:r w:rsidRPr="00980BB2">
              <w:rPr>
                <w:lang w:eastAsia="en-US"/>
              </w:rPr>
              <w:t>557</w:t>
            </w:r>
          </w:p>
        </w:tc>
        <w:tc>
          <w:tcPr>
            <w:tcW w:w="1341" w:type="pct"/>
            <w:vMerge w:val="restart"/>
            <w:shd w:val="clear" w:color="auto" w:fill="auto"/>
            <w:noWrap/>
            <w:vAlign w:val="center"/>
            <w:hideMark/>
          </w:tcPr>
          <w:p w14:paraId="46D453BB" w14:textId="77777777" w:rsidR="00980BB2" w:rsidRPr="00980BB2" w:rsidRDefault="00980BB2" w:rsidP="00980BB2">
            <w:pPr>
              <w:contextualSpacing/>
              <w:jc w:val="center"/>
              <w:rPr>
                <w:rFonts w:eastAsia="Calibri"/>
                <w:sz w:val="22"/>
                <w:szCs w:val="22"/>
                <w:lang w:eastAsia="en-US"/>
              </w:rPr>
            </w:pPr>
          </w:p>
        </w:tc>
        <w:tc>
          <w:tcPr>
            <w:tcW w:w="1085" w:type="pct"/>
            <w:shd w:val="clear" w:color="auto" w:fill="auto"/>
            <w:noWrap/>
            <w:vAlign w:val="center"/>
            <w:hideMark/>
          </w:tcPr>
          <w:p w14:paraId="5A9D1469" w14:textId="77777777" w:rsidR="00980BB2" w:rsidRPr="00980BB2" w:rsidRDefault="00980BB2" w:rsidP="00980BB2">
            <w:pPr>
              <w:suppressAutoHyphens w:val="0"/>
              <w:contextualSpacing/>
              <w:jc w:val="center"/>
              <w:rPr>
                <w:lang w:eastAsia="en-US"/>
              </w:rPr>
            </w:pPr>
            <w:r w:rsidRPr="00980BB2">
              <w:rPr>
                <w:lang w:eastAsia="en-US"/>
              </w:rPr>
              <w:t>valid</w:t>
            </w:r>
          </w:p>
        </w:tc>
      </w:tr>
      <w:tr w:rsidR="00980BB2" w:rsidRPr="00980BB2" w14:paraId="684B0D90" w14:textId="77777777" w:rsidTr="00E478FA">
        <w:trPr>
          <w:trHeight w:val="300"/>
          <w:jc w:val="center"/>
        </w:trPr>
        <w:tc>
          <w:tcPr>
            <w:tcW w:w="1234" w:type="pct"/>
            <w:shd w:val="clear" w:color="auto" w:fill="auto"/>
            <w:noWrap/>
            <w:vAlign w:val="center"/>
          </w:tcPr>
          <w:p w14:paraId="3AE85470" w14:textId="77777777" w:rsidR="00980BB2" w:rsidRPr="00980BB2" w:rsidRDefault="00980BB2" w:rsidP="00980BB2">
            <w:pPr>
              <w:suppressAutoHyphens w:val="0"/>
              <w:jc w:val="center"/>
              <w:rPr>
                <w:rFonts w:eastAsia="Calibri"/>
                <w:lang w:eastAsia="en-US"/>
              </w:rPr>
            </w:pPr>
            <w:r w:rsidRPr="00980BB2">
              <w:rPr>
                <w:rFonts w:eastAsia="Calibri"/>
                <w:lang w:eastAsia="en-US"/>
              </w:rPr>
              <w:t>19</w:t>
            </w:r>
          </w:p>
        </w:tc>
        <w:tc>
          <w:tcPr>
            <w:tcW w:w="1341" w:type="pct"/>
            <w:shd w:val="clear" w:color="auto" w:fill="auto"/>
            <w:noWrap/>
            <w:vAlign w:val="center"/>
            <w:hideMark/>
          </w:tcPr>
          <w:p w14:paraId="7DFC125E" w14:textId="214F3B88" w:rsidR="00980BB2" w:rsidRPr="00980BB2" w:rsidRDefault="00980BB2" w:rsidP="00980BB2">
            <w:pPr>
              <w:suppressAutoHyphens w:val="0"/>
              <w:jc w:val="center"/>
              <w:rPr>
                <w:vertAlign w:val="superscript"/>
                <w:lang w:eastAsia="en-US"/>
              </w:rPr>
            </w:pPr>
            <w:r w:rsidRPr="00980BB2">
              <w:rPr>
                <w:lang w:eastAsia="en-US"/>
              </w:rPr>
              <w:t>0</w:t>
            </w:r>
            <w:r w:rsidR="00E478FA" w:rsidRPr="008E781F">
              <w:rPr>
                <w:lang w:eastAsia="en-US"/>
              </w:rPr>
              <w:t>.</w:t>
            </w:r>
            <w:r w:rsidRPr="00980BB2">
              <w:rPr>
                <w:lang w:eastAsia="en-US"/>
              </w:rPr>
              <w:t>453</w:t>
            </w:r>
          </w:p>
        </w:tc>
        <w:tc>
          <w:tcPr>
            <w:tcW w:w="1341" w:type="pct"/>
            <w:vMerge/>
            <w:tcBorders>
              <w:bottom w:val="single" w:sz="4" w:space="0" w:color="auto"/>
            </w:tcBorders>
            <w:shd w:val="clear" w:color="auto" w:fill="auto"/>
            <w:noWrap/>
            <w:vAlign w:val="center"/>
            <w:hideMark/>
          </w:tcPr>
          <w:p w14:paraId="4A599D81" w14:textId="77777777" w:rsidR="00980BB2" w:rsidRPr="00980BB2" w:rsidRDefault="00980BB2" w:rsidP="00980BB2">
            <w:pPr>
              <w:suppressAutoHyphens w:val="0"/>
              <w:jc w:val="center"/>
              <w:rPr>
                <w:rFonts w:eastAsia="Calibri"/>
                <w:sz w:val="22"/>
                <w:szCs w:val="22"/>
                <w:lang w:eastAsia="en-US"/>
              </w:rPr>
            </w:pPr>
          </w:p>
        </w:tc>
        <w:tc>
          <w:tcPr>
            <w:tcW w:w="1085" w:type="pct"/>
            <w:shd w:val="clear" w:color="auto" w:fill="auto"/>
            <w:noWrap/>
            <w:vAlign w:val="center"/>
            <w:hideMark/>
          </w:tcPr>
          <w:p w14:paraId="6AFC335B" w14:textId="77777777" w:rsidR="00980BB2" w:rsidRPr="00980BB2" w:rsidRDefault="00980BB2" w:rsidP="00980BB2">
            <w:pPr>
              <w:suppressAutoHyphens w:val="0"/>
              <w:contextualSpacing/>
              <w:jc w:val="center"/>
              <w:rPr>
                <w:lang w:eastAsia="en-US"/>
              </w:rPr>
            </w:pPr>
            <w:r w:rsidRPr="00980BB2">
              <w:rPr>
                <w:lang w:eastAsia="en-US"/>
              </w:rPr>
              <w:t>valid</w:t>
            </w:r>
          </w:p>
        </w:tc>
      </w:tr>
      <w:tr w:rsidR="00980BB2" w:rsidRPr="00980BB2" w14:paraId="09872FDE" w14:textId="77777777" w:rsidTr="00E478FA">
        <w:trPr>
          <w:trHeight w:val="300"/>
          <w:jc w:val="center"/>
        </w:trPr>
        <w:tc>
          <w:tcPr>
            <w:tcW w:w="1234" w:type="pct"/>
            <w:tcBorders>
              <w:bottom w:val="single" w:sz="4" w:space="0" w:color="auto"/>
            </w:tcBorders>
            <w:shd w:val="clear" w:color="auto" w:fill="auto"/>
            <w:noWrap/>
            <w:vAlign w:val="center"/>
          </w:tcPr>
          <w:p w14:paraId="22542F8C" w14:textId="77777777" w:rsidR="00980BB2" w:rsidRPr="00980BB2" w:rsidRDefault="00980BB2" w:rsidP="00980BB2">
            <w:pPr>
              <w:suppressAutoHyphens w:val="0"/>
              <w:jc w:val="center"/>
              <w:rPr>
                <w:rFonts w:eastAsia="Calibri"/>
                <w:lang w:eastAsia="en-US"/>
              </w:rPr>
            </w:pPr>
            <w:r w:rsidRPr="00980BB2">
              <w:rPr>
                <w:rFonts w:eastAsia="Calibri"/>
                <w:lang w:eastAsia="en-US"/>
              </w:rPr>
              <w:t>20</w:t>
            </w:r>
          </w:p>
        </w:tc>
        <w:tc>
          <w:tcPr>
            <w:tcW w:w="1341" w:type="pct"/>
            <w:tcBorders>
              <w:bottom w:val="single" w:sz="4" w:space="0" w:color="auto"/>
            </w:tcBorders>
            <w:shd w:val="clear" w:color="auto" w:fill="auto"/>
            <w:noWrap/>
            <w:vAlign w:val="center"/>
            <w:hideMark/>
          </w:tcPr>
          <w:p w14:paraId="12B0C65C" w14:textId="0D535FB8" w:rsidR="00980BB2" w:rsidRPr="00980BB2" w:rsidRDefault="00980BB2" w:rsidP="00980BB2">
            <w:pPr>
              <w:suppressAutoHyphens w:val="0"/>
              <w:jc w:val="center"/>
              <w:rPr>
                <w:vertAlign w:val="superscript"/>
                <w:lang w:eastAsia="en-US"/>
              </w:rPr>
            </w:pPr>
            <w:r w:rsidRPr="00980BB2">
              <w:rPr>
                <w:lang w:eastAsia="en-US"/>
              </w:rPr>
              <w:t>0</w:t>
            </w:r>
            <w:r w:rsidR="00E478FA" w:rsidRPr="008E781F">
              <w:rPr>
                <w:lang w:eastAsia="en-US"/>
              </w:rPr>
              <w:t>.</w:t>
            </w:r>
            <w:r w:rsidRPr="00980BB2">
              <w:rPr>
                <w:lang w:eastAsia="en-US"/>
              </w:rPr>
              <w:t>613</w:t>
            </w:r>
          </w:p>
        </w:tc>
        <w:tc>
          <w:tcPr>
            <w:tcW w:w="1341" w:type="pct"/>
            <w:vMerge/>
            <w:tcBorders>
              <w:bottom w:val="single" w:sz="4" w:space="0" w:color="auto"/>
            </w:tcBorders>
            <w:shd w:val="clear" w:color="auto" w:fill="auto"/>
            <w:noWrap/>
            <w:vAlign w:val="center"/>
            <w:hideMark/>
          </w:tcPr>
          <w:p w14:paraId="22B66940" w14:textId="77777777" w:rsidR="00980BB2" w:rsidRPr="00980BB2" w:rsidRDefault="00980BB2" w:rsidP="00980BB2">
            <w:pPr>
              <w:suppressAutoHyphens w:val="0"/>
              <w:jc w:val="center"/>
              <w:rPr>
                <w:rFonts w:eastAsia="Calibri"/>
                <w:sz w:val="22"/>
                <w:szCs w:val="22"/>
                <w:lang w:eastAsia="en-US"/>
              </w:rPr>
            </w:pPr>
          </w:p>
        </w:tc>
        <w:tc>
          <w:tcPr>
            <w:tcW w:w="1085" w:type="pct"/>
            <w:tcBorders>
              <w:bottom w:val="single" w:sz="4" w:space="0" w:color="auto"/>
            </w:tcBorders>
            <w:shd w:val="clear" w:color="auto" w:fill="auto"/>
            <w:noWrap/>
            <w:vAlign w:val="center"/>
            <w:hideMark/>
          </w:tcPr>
          <w:p w14:paraId="4AF08E12" w14:textId="77777777" w:rsidR="00980BB2" w:rsidRPr="00980BB2" w:rsidRDefault="00980BB2" w:rsidP="00980BB2">
            <w:pPr>
              <w:suppressAutoHyphens w:val="0"/>
              <w:jc w:val="center"/>
              <w:rPr>
                <w:lang w:eastAsia="en-US"/>
              </w:rPr>
            </w:pPr>
            <w:r w:rsidRPr="00980BB2">
              <w:rPr>
                <w:lang w:eastAsia="en-US"/>
              </w:rPr>
              <w:t>valid</w:t>
            </w:r>
          </w:p>
        </w:tc>
      </w:tr>
    </w:tbl>
    <w:p w14:paraId="22441DA2" w14:textId="77777777" w:rsidR="00980BB2" w:rsidRPr="00980BB2" w:rsidRDefault="00980BB2" w:rsidP="00980BB2">
      <w:pPr>
        <w:suppressAutoHyphens w:val="0"/>
        <w:spacing w:line="276" w:lineRule="auto"/>
        <w:ind w:left="658"/>
        <w:rPr>
          <w:rFonts w:eastAsia="Calibri"/>
          <w:iCs/>
          <w:lang w:val="fi-FI" w:eastAsia="en-US"/>
        </w:rPr>
      </w:pPr>
      <w:r w:rsidRPr="00980BB2">
        <w:rPr>
          <w:rFonts w:eastAsia="Calibri"/>
          <w:lang w:eastAsia="en-US"/>
        </w:rPr>
        <w:t>Source: Results of statistical data processing</w:t>
      </w:r>
    </w:p>
    <w:p w14:paraId="2A319C5B" w14:textId="77777777" w:rsidR="00980BB2" w:rsidRPr="00980BB2" w:rsidRDefault="00980BB2" w:rsidP="00980BB2">
      <w:pPr>
        <w:suppressAutoHyphens w:val="0"/>
        <w:spacing w:line="276" w:lineRule="auto"/>
        <w:ind w:firstLine="720"/>
        <w:jc w:val="both"/>
        <w:rPr>
          <w:rFonts w:eastAsia="Calibri"/>
          <w:lang w:eastAsia="en-US"/>
        </w:rPr>
      </w:pPr>
      <w:r w:rsidRPr="00980BB2">
        <w:rPr>
          <w:rFonts w:eastAsia="Calibri"/>
          <w:lang w:eastAsia="en-US"/>
        </w:rPr>
        <w:t xml:space="preserve">Based on Table 2, it can be understood that of the 20 question items, all of them are in the valid category. This is because the </w:t>
      </w:r>
      <w:proofErr w:type="spellStart"/>
      <w:r w:rsidRPr="00980BB2">
        <w:rPr>
          <w:rFonts w:eastAsia="Calibri"/>
          <w:lang w:eastAsia="en-US"/>
        </w:rPr>
        <w:t>R</w:t>
      </w:r>
      <w:r w:rsidRPr="00980BB2">
        <w:rPr>
          <w:rFonts w:eastAsia="Calibri"/>
          <w:vertAlign w:val="subscript"/>
          <w:lang w:eastAsia="en-US"/>
        </w:rPr>
        <w:t>count</w:t>
      </w:r>
      <w:proofErr w:type="spellEnd"/>
      <w:r w:rsidRPr="00980BB2">
        <w:rPr>
          <w:rFonts w:eastAsia="Calibri"/>
          <w:lang w:eastAsia="en-US"/>
        </w:rPr>
        <w:t xml:space="preserve"> score for all question items is greater than the </w:t>
      </w:r>
      <w:proofErr w:type="spellStart"/>
      <w:r w:rsidRPr="00980BB2">
        <w:rPr>
          <w:rFonts w:eastAsia="Calibri"/>
          <w:lang w:eastAsia="en-US"/>
        </w:rPr>
        <w:t>R</w:t>
      </w:r>
      <w:r w:rsidRPr="00980BB2">
        <w:rPr>
          <w:rFonts w:eastAsia="Calibri"/>
          <w:vertAlign w:val="subscript"/>
          <w:lang w:eastAsia="en-US"/>
        </w:rPr>
        <w:t>table</w:t>
      </w:r>
      <w:proofErr w:type="spellEnd"/>
      <w:r w:rsidRPr="00980BB2">
        <w:rPr>
          <w:rFonts w:eastAsia="Calibri"/>
          <w:lang w:eastAsia="en-US"/>
        </w:rPr>
        <w:t xml:space="preserve"> score (</w:t>
      </w:r>
      <w:proofErr w:type="spellStart"/>
      <w:r w:rsidRPr="00980BB2">
        <w:rPr>
          <w:rFonts w:eastAsia="Calibri"/>
          <w:lang w:eastAsia="en-US"/>
        </w:rPr>
        <w:t>R</w:t>
      </w:r>
      <w:r w:rsidRPr="00980BB2">
        <w:rPr>
          <w:rFonts w:eastAsia="Calibri"/>
          <w:vertAlign w:val="subscript"/>
          <w:lang w:eastAsia="en-US"/>
        </w:rPr>
        <w:t>count</w:t>
      </w:r>
      <w:proofErr w:type="spellEnd"/>
      <w:r w:rsidRPr="00980BB2">
        <w:rPr>
          <w:rFonts w:eastAsia="Calibri"/>
          <w:lang w:eastAsia="en-US"/>
        </w:rPr>
        <w:t xml:space="preserve"> &gt; </w:t>
      </w:r>
      <w:proofErr w:type="spellStart"/>
      <w:r w:rsidRPr="00980BB2">
        <w:rPr>
          <w:rFonts w:eastAsia="Calibri"/>
          <w:lang w:eastAsia="en-US"/>
        </w:rPr>
        <w:t>R</w:t>
      </w:r>
      <w:r w:rsidRPr="00980BB2">
        <w:rPr>
          <w:rFonts w:eastAsia="Calibri"/>
          <w:vertAlign w:val="subscript"/>
          <w:lang w:eastAsia="en-US"/>
        </w:rPr>
        <w:t>table</w:t>
      </w:r>
      <w:proofErr w:type="spellEnd"/>
      <w:r w:rsidRPr="00980BB2">
        <w:rPr>
          <w:rFonts w:eastAsia="Calibri"/>
          <w:lang w:eastAsia="en-US"/>
        </w:rPr>
        <w:t>).</w:t>
      </w:r>
    </w:p>
    <w:p w14:paraId="0433D550" w14:textId="6014B82E" w:rsidR="00980BB2" w:rsidRPr="00980BB2" w:rsidRDefault="00980BB2" w:rsidP="00980BB2">
      <w:pPr>
        <w:suppressAutoHyphens w:val="0"/>
        <w:spacing w:line="276" w:lineRule="auto"/>
        <w:ind w:firstLine="720"/>
        <w:jc w:val="both"/>
        <w:rPr>
          <w:rFonts w:eastAsia="Calibri"/>
          <w:lang w:eastAsia="en-US"/>
        </w:rPr>
      </w:pPr>
      <w:r w:rsidRPr="00980BB2">
        <w:rPr>
          <w:rFonts w:eastAsia="Calibri"/>
          <w:lang w:eastAsia="en-US"/>
        </w:rPr>
        <w:t>After testing the validity and reliability of the data, the gain test was then carried out. The basis for carrying out the gain test is the learning results of the experimental class and the control class. The data is described in Table 3:</w:t>
      </w:r>
    </w:p>
    <w:p w14:paraId="538B0FF7" w14:textId="77777777" w:rsidR="00980BB2" w:rsidRPr="00980BB2" w:rsidRDefault="00980BB2" w:rsidP="00980BB2">
      <w:pPr>
        <w:suppressAutoHyphens w:val="0"/>
        <w:spacing w:line="276" w:lineRule="auto"/>
        <w:jc w:val="center"/>
        <w:rPr>
          <w:rFonts w:eastAsia="Calibri"/>
          <w:lang w:eastAsia="en-US"/>
        </w:rPr>
      </w:pPr>
      <w:r w:rsidRPr="00980BB2">
        <w:rPr>
          <w:rFonts w:eastAsia="Calibri"/>
          <w:lang w:eastAsia="en-US"/>
        </w:rPr>
        <w:t xml:space="preserve">Tabel 3. Pretest and Posttest Data in the Experimental and Control Classes </w:t>
      </w:r>
    </w:p>
    <w:tbl>
      <w:tblPr>
        <w:tblStyle w:val="TableGrid1"/>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701"/>
        <w:gridCol w:w="1701"/>
        <w:gridCol w:w="1701"/>
        <w:gridCol w:w="1701"/>
      </w:tblGrid>
      <w:tr w:rsidR="00980BB2" w:rsidRPr="00980BB2" w14:paraId="4513CF0A" w14:textId="77777777" w:rsidTr="00980BB2">
        <w:tc>
          <w:tcPr>
            <w:tcW w:w="2268" w:type="dxa"/>
            <w:vMerge w:val="restart"/>
            <w:tcBorders>
              <w:top w:val="single" w:sz="4" w:space="0" w:color="auto"/>
            </w:tcBorders>
            <w:vAlign w:val="center"/>
          </w:tcPr>
          <w:p w14:paraId="18F04F86" w14:textId="77777777" w:rsidR="00980BB2" w:rsidRPr="00980BB2" w:rsidRDefault="00980BB2" w:rsidP="00980BB2">
            <w:pPr>
              <w:suppressAutoHyphens w:val="0"/>
              <w:jc w:val="center"/>
              <w:rPr>
                <w:rFonts w:ascii="Times New Roman" w:hAnsi="Times New Roman"/>
                <w:lang w:eastAsia="en-US"/>
              </w:rPr>
            </w:pPr>
            <w:r w:rsidRPr="00980BB2">
              <w:rPr>
                <w:rFonts w:ascii="Times New Roman" w:hAnsi="Times New Roman"/>
                <w:lang w:eastAsia="en-US"/>
              </w:rPr>
              <w:t>The Calculation Results</w:t>
            </w:r>
          </w:p>
        </w:tc>
        <w:tc>
          <w:tcPr>
            <w:tcW w:w="6804" w:type="dxa"/>
            <w:gridSpan w:val="4"/>
            <w:tcBorders>
              <w:top w:val="single" w:sz="4" w:space="0" w:color="auto"/>
              <w:bottom w:val="single" w:sz="4" w:space="0" w:color="auto"/>
            </w:tcBorders>
          </w:tcPr>
          <w:p w14:paraId="56278485" w14:textId="77777777" w:rsidR="00980BB2" w:rsidRPr="00980BB2" w:rsidRDefault="00980BB2" w:rsidP="00980BB2">
            <w:pPr>
              <w:suppressAutoHyphens w:val="0"/>
              <w:jc w:val="center"/>
              <w:rPr>
                <w:rFonts w:ascii="Times New Roman" w:hAnsi="Times New Roman"/>
                <w:lang w:eastAsia="en-US"/>
              </w:rPr>
            </w:pPr>
            <w:r w:rsidRPr="00980BB2">
              <w:rPr>
                <w:rFonts w:ascii="Times New Roman" w:hAnsi="Times New Roman"/>
                <w:lang w:eastAsia="en-US"/>
              </w:rPr>
              <w:t>Classes</w:t>
            </w:r>
          </w:p>
        </w:tc>
      </w:tr>
      <w:tr w:rsidR="00980BB2" w:rsidRPr="00980BB2" w14:paraId="55790457" w14:textId="77777777" w:rsidTr="00980BB2">
        <w:tc>
          <w:tcPr>
            <w:tcW w:w="2268" w:type="dxa"/>
            <w:vMerge/>
          </w:tcPr>
          <w:p w14:paraId="23FA7B9D" w14:textId="77777777" w:rsidR="00980BB2" w:rsidRPr="00980BB2" w:rsidRDefault="00980BB2" w:rsidP="00980BB2">
            <w:pPr>
              <w:suppressAutoHyphens w:val="0"/>
              <w:jc w:val="both"/>
              <w:rPr>
                <w:rFonts w:ascii="Times New Roman" w:hAnsi="Times New Roman"/>
                <w:lang w:eastAsia="en-US"/>
              </w:rPr>
            </w:pPr>
          </w:p>
        </w:tc>
        <w:tc>
          <w:tcPr>
            <w:tcW w:w="3402" w:type="dxa"/>
            <w:gridSpan w:val="2"/>
            <w:tcBorders>
              <w:top w:val="single" w:sz="4" w:space="0" w:color="auto"/>
              <w:bottom w:val="single" w:sz="4" w:space="0" w:color="auto"/>
            </w:tcBorders>
          </w:tcPr>
          <w:p w14:paraId="5B650CBA" w14:textId="77777777" w:rsidR="00980BB2" w:rsidRPr="00980BB2" w:rsidRDefault="00980BB2" w:rsidP="00980BB2">
            <w:pPr>
              <w:suppressAutoHyphens w:val="0"/>
              <w:jc w:val="center"/>
              <w:rPr>
                <w:rFonts w:ascii="Times New Roman" w:hAnsi="Times New Roman"/>
                <w:lang w:eastAsia="en-US"/>
              </w:rPr>
            </w:pPr>
            <w:r w:rsidRPr="00980BB2">
              <w:rPr>
                <w:rFonts w:ascii="Times New Roman" w:hAnsi="Times New Roman"/>
                <w:lang w:eastAsia="en-US"/>
              </w:rPr>
              <w:t>Experimental</w:t>
            </w:r>
          </w:p>
        </w:tc>
        <w:tc>
          <w:tcPr>
            <w:tcW w:w="3402" w:type="dxa"/>
            <w:gridSpan w:val="2"/>
            <w:tcBorders>
              <w:top w:val="single" w:sz="4" w:space="0" w:color="auto"/>
              <w:bottom w:val="single" w:sz="4" w:space="0" w:color="auto"/>
            </w:tcBorders>
          </w:tcPr>
          <w:p w14:paraId="4EA61B7A" w14:textId="77777777" w:rsidR="00980BB2" w:rsidRPr="00980BB2" w:rsidRDefault="00980BB2" w:rsidP="00980BB2">
            <w:pPr>
              <w:suppressAutoHyphens w:val="0"/>
              <w:jc w:val="center"/>
              <w:rPr>
                <w:rFonts w:ascii="Times New Roman" w:hAnsi="Times New Roman"/>
                <w:lang w:eastAsia="en-US"/>
              </w:rPr>
            </w:pPr>
            <w:r w:rsidRPr="00980BB2">
              <w:rPr>
                <w:rFonts w:ascii="Times New Roman" w:hAnsi="Times New Roman"/>
                <w:lang w:eastAsia="en-US"/>
              </w:rPr>
              <w:t>Control</w:t>
            </w:r>
          </w:p>
        </w:tc>
      </w:tr>
      <w:tr w:rsidR="00980BB2" w:rsidRPr="00980BB2" w14:paraId="53A3ECA9" w14:textId="77777777" w:rsidTr="00980BB2">
        <w:tc>
          <w:tcPr>
            <w:tcW w:w="2268" w:type="dxa"/>
            <w:vMerge/>
          </w:tcPr>
          <w:p w14:paraId="1EA86276" w14:textId="77777777" w:rsidR="00980BB2" w:rsidRPr="00980BB2" w:rsidRDefault="00980BB2" w:rsidP="00980BB2">
            <w:pPr>
              <w:suppressAutoHyphens w:val="0"/>
              <w:jc w:val="both"/>
              <w:rPr>
                <w:rFonts w:ascii="Times New Roman" w:hAnsi="Times New Roman"/>
                <w:lang w:eastAsia="en-US"/>
              </w:rPr>
            </w:pPr>
          </w:p>
        </w:tc>
        <w:tc>
          <w:tcPr>
            <w:tcW w:w="1701" w:type="dxa"/>
            <w:tcBorders>
              <w:top w:val="single" w:sz="4" w:space="0" w:color="auto"/>
              <w:bottom w:val="single" w:sz="4" w:space="0" w:color="auto"/>
            </w:tcBorders>
          </w:tcPr>
          <w:p w14:paraId="3CD60F13" w14:textId="77777777" w:rsidR="00980BB2" w:rsidRPr="00980BB2" w:rsidRDefault="00980BB2" w:rsidP="00980BB2">
            <w:pPr>
              <w:suppressAutoHyphens w:val="0"/>
              <w:jc w:val="center"/>
              <w:rPr>
                <w:rFonts w:ascii="Times New Roman" w:hAnsi="Times New Roman"/>
                <w:lang w:eastAsia="en-US"/>
              </w:rPr>
            </w:pPr>
            <w:r w:rsidRPr="00980BB2">
              <w:rPr>
                <w:rFonts w:ascii="Times New Roman" w:hAnsi="Times New Roman"/>
                <w:lang w:eastAsia="en-US"/>
              </w:rPr>
              <w:t>Pretest</w:t>
            </w:r>
          </w:p>
        </w:tc>
        <w:tc>
          <w:tcPr>
            <w:tcW w:w="1701" w:type="dxa"/>
            <w:tcBorders>
              <w:top w:val="single" w:sz="4" w:space="0" w:color="auto"/>
              <w:bottom w:val="single" w:sz="4" w:space="0" w:color="auto"/>
            </w:tcBorders>
          </w:tcPr>
          <w:p w14:paraId="7B0D2D4E" w14:textId="77777777" w:rsidR="00980BB2" w:rsidRPr="00980BB2" w:rsidRDefault="00980BB2" w:rsidP="00980BB2">
            <w:pPr>
              <w:suppressAutoHyphens w:val="0"/>
              <w:jc w:val="center"/>
              <w:rPr>
                <w:rFonts w:ascii="Times New Roman" w:hAnsi="Times New Roman"/>
                <w:lang w:eastAsia="en-US"/>
              </w:rPr>
            </w:pPr>
            <w:r w:rsidRPr="00980BB2">
              <w:rPr>
                <w:rFonts w:ascii="Times New Roman" w:hAnsi="Times New Roman"/>
                <w:lang w:eastAsia="en-US"/>
              </w:rPr>
              <w:t>Posttest</w:t>
            </w:r>
          </w:p>
        </w:tc>
        <w:tc>
          <w:tcPr>
            <w:tcW w:w="1701" w:type="dxa"/>
            <w:tcBorders>
              <w:top w:val="single" w:sz="4" w:space="0" w:color="auto"/>
              <w:bottom w:val="single" w:sz="4" w:space="0" w:color="auto"/>
            </w:tcBorders>
          </w:tcPr>
          <w:p w14:paraId="43900EA2" w14:textId="77777777" w:rsidR="00980BB2" w:rsidRPr="00980BB2" w:rsidRDefault="00980BB2" w:rsidP="00980BB2">
            <w:pPr>
              <w:suppressAutoHyphens w:val="0"/>
              <w:jc w:val="center"/>
              <w:rPr>
                <w:rFonts w:ascii="Times New Roman" w:hAnsi="Times New Roman"/>
                <w:lang w:eastAsia="en-US"/>
              </w:rPr>
            </w:pPr>
            <w:r w:rsidRPr="00980BB2">
              <w:rPr>
                <w:rFonts w:ascii="Times New Roman" w:hAnsi="Times New Roman"/>
                <w:lang w:eastAsia="en-US"/>
              </w:rPr>
              <w:t>Pretest</w:t>
            </w:r>
          </w:p>
        </w:tc>
        <w:tc>
          <w:tcPr>
            <w:tcW w:w="1701" w:type="dxa"/>
            <w:tcBorders>
              <w:top w:val="single" w:sz="4" w:space="0" w:color="auto"/>
              <w:bottom w:val="single" w:sz="4" w:space="0" w:color="auto"/>
            </w:tcBorders>
          </w:tcPr>
          <w:p w14:paraId="088E3C17" w14:textId="77777777" w:rsidR="00980BB2" w:rsidRPr="00980BB2" w:rsidRDefault="00980BB2" w:rsidP="00980BB2">
            <w:pPr>
              <w:suppressAutoHyphens w:val="0"/>
              <w:jc w:val="center"/>
              <w:rPr>
                <w:rFonts w:ascii="Times New Roman" w:hAnsi="Times New Roman"/>
                <w:lang w:eastAsia="en-US"/>
              </w:rPr>
            </w:pPr>
            <w:r w:rsidRPr="00980BB2">
              <w:rPr>
                <w:rFonts w:ascii="Times New Roman" w:hAnsi="Times New Roman"/>
                <w:lang w:eastAsia="en-US"/>
              </w:rPr>
              <w:t>Posttest</w:t>
            </w:r>
          </w:p>
        </w:tc>
      </w:tr>
      <w:tr w:rsidR="00980BB2" w:rsidRPr="00980BB2" w14:paraId="3E69AB21" w14:textId="77777777" w:rsidTr="00980BB2">
        <w:tc>
          <w:tcPr>
            <w:tcW w:w="2268" w:type="dxa"/>
          </w:tcPr>
          <w:p w14:paraId="52BAF2F9" w14:textId="77777777" w:rsidR="00980BB2" w:rsidRPr="00980BB2" w:rsidRDefault="00980BB2" w:rsidP="00980BB2">
            <w:pPr>
              <w:suppressAutoHyphens w:val="0"/>
              <w:jc w:val="both"/>
              <w:rPr>
                <w:rFonts w:ascii="Times New Roman" w:hAnsi="Times New Roman"/>
                <w:lang w:eastAsia="en-US"/>
              </w:rPr>
            </w:pPr>
            <w:r w:rsidRPr="00980BB2">
              <w:rPr>
                <w:rFonts w:ascii="Times New Roman" w:hAnsi="Times New Roman"/>
                <w:lang w:eastAsia="en-US"/>
              </w:rPr>
              <w:t>Mean</w:t>
            </w:r>
          </w:p>
        </w:tc>
        <w:tc>
          <w:tcPr>
            <w:tcW w:w="1701" w:type="dxa"/>
            <w:tcBorders>
              <w:top w:val="single" w:sz="4" w:space="0" w:color="auto"/>
            </w:tcBorders>
          </w:tcPr>
          <w:p w14:paraId="690823A7"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eastAsia="en-US"/>
              </w:rPr>
              <w:t>6</w:t>
            </w:r>
            <w:r w:rsidRPr="00980BB2">
              <w:rPr>
                <w:rFonts w:ascii="Times New Roman" w:hAnsi="Times New Roman"/>
                <w:lang w:val="id-ID" w:eastAsia="en-US"/>
              </w:rPr>
              <w:t>1</w:t>
            </w:r>
            <w:r w:rsidRPr="00980BB2">
              <w:rPr>
                <w:rFonts w:ascii="Times New Roman" w:hAnsi="Times New Roman"/>
                <w:lang w:eastAsia="en-US"/>
              </w:rPr>
              <w:t>.</w:t>
            </w:r>
            <w:r w:rsidRPr="00980BB2">
              <w:rPr>
                <w:rFonts w:ascii="Times New Roman" w:hAnsi="Times New Roman"/>
                <w:lang w:val="id-ID" w:eastAsia="en-US"/>
              </w:rPr>
              <w:t>9</w:t>
            </w:r>
            <w:r w:rsidRPr="00980BB2">
              <w:rPr>
                <w:rFonts w:ascii="Times New Roman" w:hAnsi="Times New Roman"/>
                <w:lang w:eastAsia="en-US"/>
              </w:rPr>
              <w:t>0</w:t>
            </w:r>
          </w:p>
        </w:tc>
        <w:tc>
          <w:tcPr>
            <w:tcW w:w="1701" w:type="dxa"/>
            <w:tcBorders>
              <w:top w:val="single" w:sz="4" w:space="0" w:color="auto"/>
            </w:tcBorders>
          </w:tcPr>
          <w:p w14:paraId="784CBEC4"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eastAsia="en-US"/>
              </w:rPr>
              <w:t>85.71</w:t>
            </w:r>
          </w:p>
        </w:tc>
        <w:tc>
          <w:tcPr>
            <w:tcW w:w="1701" w:type="dxa"/>
            <w:tcBorders>
              <w:top w:val="single" w:sz="4" w:space="0" w:color="auto"/>
            </w:tcBorders>
          </w:tcPr>
          <w:p w14:paraId="333F6422"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eastAsia="en-US"/>
              </w:rPr>
              <w:t>55.71</w:t>
            </w:r>
          </w:p>
        </w:tc>
        <w:tc>
          <w:tcPr>
            <w:tcW w:w="1701" w:type="dxa"/>
            <w:tcBorders>
              <w:top w:val="single" w:sz="4" w:space="0" w:color="auto"/>
            </w:tcBorders>
          </w:tcPr>
          <w:p w14:paraId="21F13ACE"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val="id-ID" w:eastAsia="en-US"/>
              </w:rPr>
              <w:t xml:space="preserve">72.38 </w:t>
            </w:r>
          </w:p>
        </w:tc>
      </w:tr>
      <w:tr w:rsidR="00980BB2" w:rsidRPr="00980BB2" w14:paraId="779B21DA" w14:textId="77777777" w:rsidTr="00980BB2">
        <w:tc>
          <w:tcPr>
            <w:tcW w:w="2268" w:type="dxa"/>
          </w:tcPr>
          <w:p w14:paraId="76D6F6F6" w14:textId="77777777" w:rsidR="00980BB2" w:rsidRPr="00980BB2" w:rsidRDefault="00980BB2" w:rsidP="00980BB2">
            <w:pPr>
              <w:suppressAutoHyphens w:val="0"/>
              <w:jc w:val="both"/>
              <w:rPr>
                <w:rFonts w:ascii="Times New Roman" w:hAnsi="Times New Roman"/>
                <w:lang w:eastAsia="en-US"/>
              </w:rPr>
            </w:pPr>
            <w:r w:rsidRPr="00980BB2">
              <w:rPr>
                <w:rFonts w:ascii="Times New Roman" w:hAnsi="Times New Roman"/>
                <w:lang w:eastAsia="en-US"/>
              </w:rPr>
              <w:t>Median</w:t>
            </w:r>
          </w:p>
        </w:tc>
        <w:tc>
          <w:tcPr>
            <w:tcW w:w="1701" w:type="dxa"/>
          </w:tcPr>
          <w:p w14:paraId="2FCD43BD"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eastAsia="en-US"/>
              </w:rPr>
              <w:t>63</w:t>
            </w:r>
          </w:p>
        </w:tc>
        <w:tc>
          <w:tcPr>
            <w:tcW w:w="1701" w:type="dxa"/>
          </w:tcPr>
          <w:p w14:paraId="70AC739D"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eastAsia="en-US"/>
              </w:rPr>
              <w:t>85</w:t>
            </w:r>
          </w:p>
        </w:tc>
        <w:tc>
          <w:tcPr>
            <w:tcW w:w="1701" w:type="dxa"/>
          </w:tcPr>
          <w:p w14:paraId="22DC3297"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eastAsia="en-US"/>
              </w:rPr>
              <w:t>55</w:t>
            </w:r>
          </w:p>
        </w:tc>
        <w:tc>
          <w:tcPr>
            <w:tcW w:w="1701" w:type="dxa"/>
          </w:tcPr>
          <w:p w14:paraId="748D9BB3"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val="id-ID" w:eastAsia="en-US"/>
              </w:rPr>
              <w:t>72</w:t>
            </w:r>
          </w:p>
        </w:tc>
      </w:tr>
      <w:tr w:rsidR="00980BB2" w:rsidRPr="00980BB2" w14:paraId="6275EC6A" w14:textId="77777777" w:rsidTr="00980BB2">
        <w:tc>
          <w:tcPr>
            <w:tcW w:w="2268" w:type="dxa"/>
          </w:tcPr>
          <w:p w14:paraId="156EA3E8" w14:textId="77777777" w:rsidR="00980BB2" w:rsidRPr="00980BB2" w:rsidRDefault="00980BB2" w:rsidP="00980BB2">
            <w:pPr>
              <w:suppressAutoHyphens w:val="0"/>
              <w:jc w:val="both"/>
              <w:rPr>
                <w:rFonts w:ascii="Times New Roman" w:hAnsi="Times New Roman"/>
                <w:lang w:eastAsia="en-US"/>
              </w:rPr>
            </w:pPr>
            <w:r w:rsidRPr="00980BB2">
              <w:rPr>
                <w:rFonts w:ascii="Times New Roman" w:hAnsi="Times New Roman"/>
                <w:lang w:eastAsia="en-US"/>
              </w:rPr>
              <w:t>Mode</w:t>
            </w:r>
          </w:p>
        </w:tc>
        <w:tc>
          <w:tcPr>
            <w:tcW w:w="1701" w:type="dxa"/>
          </w:tcPr>
          <w:p w14:paraId="5092AA8F"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eastAsia="en-US"/>
              </w:rPr>
              <w:t>50</w:t>
            </w:r>
          </w:p>
        </w:tc>
        <w:tc>
          <w:tcPr>
            <w:tcW w:w="1701" w:type="dxa"/>
          </w:tcPr>
          <w:p w14:paraId="25A62165"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eastAsia="en-US"/>
              </w:rPr>
              <w:t>85</w:t>
            </w:r>
          </w:p>
        </w:tc>
        <w:tc>
          <w:tcPr>
            <w:tcW w:w="1701" w:type="dxa"/>
          </w:tcPr>
          <w:p w14:paraId="715BD350"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eastAsia="en-US"/>
              </w:rPr>
              <w:t>50</w:t>
            </w:r>
          </w:p>
        </w:tc>
        <w:tc>
          <w:tcPr>
            <w:tcW w:w="1701" w:type="dxa"/>
          </w:tcPr>
          <w:p w14:paraId="6AC6AA08"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val="id-ID" w:eastAsia="en-US"/>
              </w:rPr>
              <w:t>70</w:t>
            </w:r>
          </w:p>
        </w:tc>
      </w:tr>
      <w:tr w:rsidR="00980BB2" w:rsidRPr="00980BB2" w14:paraId="4B09E8F8" w14:textId="77777777" w:rsidTr="00980BB2">
        <w:tc>
          <w:tcPr>
            <w:tcW w:w="2268" w:type="dxa"/>
          </w:tcPr>
          <w:p w14:paraId="60FB93EB" w14:textId="77777777" w:rsidR="00980BB2" w:rsidRPr="00980BB2" w:rsidRDefault="00980BB2" w:rsidP="00980BB2">
            <w:pPr>
              <w:suppressAutoHyphens w:val="0"/>
              <w:jc w:val="both"/>
              <w:rPr>
                <w:rFonts w:ascii="Times New Roman" w:hAnsi="Times New Roman"/>
                <w:lang w:eastAsia="en-US"/>
              </w:rPr>
            </w:pPr>
            <w:r w:rsidRPr="00980BB2">
              <w:rPr>
                <w:rFonts w:ascii="Times New Roman" w:hAnsi="Times New Roman"/>
                <w:color w:val="000000"/>
                <w:lang w:val="id-ID" w:eastAsia="en-US"/>
              </w:rPr>
              <w:t>Std. Deviation</w:t>
            </w:r>
          </w:p>
        </w:tc>
        <w:tc>
          <w:tcPr>
            <w:tcW w:w="1701" w:type="dxa"/>
          </w:tcPr>
          <w:p w14:paraId="2E66906A"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eastAsia="en-US"/>
              </w:rPr>
              <w:t>9.284</w:t>
            </w:r>
          </w:p>
        </w:tc>
        <w:tc>
          <w:tcPr>
            <w:tcW w:w="1701" w:type="dxa"/>
          </w:tcPr>
          <w:p w14:paraId="2FBEF785"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eastAsia="en-US"/>
              </w:rPr>
              <w:t>6.761</w:t>
            </w:r>
          </w:p>
        </w:tc>
        <w:tc>
          <w:tcPr>
            <w:tcW w:w="1701" w:type="dxa"/>
          </w:tcPr>
          <w:p w14:paraId="4C2A67F5"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eastAsia="en-US"/>
              </w:rPr>
              <w:t>9.731</w:t>
            </w:r>
          </w:p>
        </w:tc>
        <w:tc>
          <w:tcPr>
            <w:tcW w:w="1701" w:type="dxa"/>
          </w:tcPr>
          <w:p w14:paraId="11E2F627"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val="id-ID" w:eastAsia="en-US"/>
              </w:rPr>
              <w:t>7.684</w:t>
            </w:r>
          </w:p>
        </w:tc>
      </w:tr>
      <w:tr w:rsidR="00980BB2" w:rsidRPr="00980BB2" w14:paraId="189F27F9" w14:textId="77777777" w:rsidTr="00980BB2">
        <w:tc>
          <w:tcPr>
            <w:tcW w:w="2268" w:type="dxa"/>
          </w:tcPr>
          <w:p w14:paraId="563B51C7" w14:textId="77777777" w:rsidR="00980BB2" w:rsidRPr="00980BB2" w:rsidRDefault="00980BB2" w:rsidP="00980BB2">
            <w:pPr>
              <w:suppressAutoHyphens w:val="0"/>
              <w:jc w:val="both"/>
              <w:rPr>
                <w:rFonts w:ascii="Times New Roman" w:hAnsi="Times New Roman"/>
                <w:lang w:eastAsia="en-US"/>
              </w:rPr>
            </w:pPr>
            <w:r w:rsidRPr="00980BB2">
              <w:rPr>
                <w:rFonts w:ascii="Times New Roman" w:hAnsi="Times New Roman"/>
                <w:color w:val="000000"/>
                <w:lang w:val="id-ID" w:eastAsia="en-US"/>
              </w:rPr>
              <w:t>Minimum</w:t>
            </w:r>
          </w:p>
        </w:tc>
        <w:tc>
          <w:tcPr>
            <w:tcW w:w="1701" w:type="dxa"/>
          </w:tcPr>
          <w:p w14:paraId="3CBD1769"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eastAsia="en-US"/>
              </w:rPr>
              <w:t>50</w:t>
            </w:r>
          </w:p>
        </w:tc>
        <w:tc>
          <w:tcPr>
            <w:tcW w:w="1701" w:type="dxa"/>
          </w:tcPr>
          <w:p w14:paraId="3D37E200"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eastAsia="en-US"/>
              </w:rPr>
              <w:t>70</w:t>
            </w:r>
          </w:p>
        </w:tc>
        <w:tc>
          <w:tcPr>
            <w:tcW w:w="1701" w:type="dxa"/>
          </w:tcPr>
          <w:p w14:paraId="23E5DF16"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val="id-ID" w:eastAsia="en-US"/>
              </w:rPr>
              <w:t xml:space="preserve">50 </w:t>
            </w:r>
          </w:p>
        </w:tc>
        <w:tc>
          <w:tcPr>
            <w:tcW w:w="1701" w:type="dxa"/>
          </w:tcPr>
          <w:p w14:paraId="44AC149A"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val="id-ID" w:eastAsia="en-US"/>
              </w:rPr>
              <w:t>60</w:t>
            </w:r>
          </w:p>
        </w:tc>
      </w:tr>
      <w:tr w:rsidR="00980BB2" w:rsidRPr="00980BB2" w14:paraId="79A0E0A3" w14:textId="77777777" w:rsidTr="00980BB2">
        <w:tc>
          <w:tcPr>
            <w:tcW w:w="2268" w:type="dxa"/>
            <w:tcBorders>
              <w:bottom w:val="single" w:sz="4" w:space="0" w:color="auto"/>
            </w:tcBorders>
          </w:tcPr>
          <w:p w14:paraId="2CCD2EA2" w14:textId="77777777" w:rsidR="00980BB2" w:rsidRPr="00980BB2" w:rsidRDefault="00980BB2" w:rsidP="00980BB2">
            <w:pPr>
              <w:suppressAutoHyphens w:val="0"/>
              <w:jc w:val="both"/>
              <w:rPr>
                <w:rFonts w:ascii="Times New Roman" w:hAnsi="Times New Roman"/>
                <w:color w:val="000000"/>
                <w:lang w:val="id-ID" w:eastAsia="en-US"/>
              </w:rPr>
            </w:pPr>
            <w:r w:rsidRPr="00980BB2">
              <w:rPr>
                <w:rFonts w:ascii="Times New Roman" w:hAnsi="Times New Roman"/>
                <w:color w:val="000000"/>
                <w:lang w:val="id-ID" w:eastAsia="en-US"/>
              </w:rPr>
              <w:t>Maximum</w:t>
            </w:r>
          </w:p>
        </w:tc>
        <w:tc>
          <w:tcPr>
            <w:tcW w:w="1701" w:type="dxa"/>
            <w:tcBorders>
              <w:bottom w:val="single" w:sz="4" w:space="0" w:color="auto"/>
            </w:tcBorders>
          </w:tcPr>
          <w:p w14:paraId="5682D903"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eastAsia="en-US"/>
              </w:rPr>
              <w:t>75</w:t>
            </w:r>
          </w:p>
        </w:tc>
        <w:tc>
          <w:tcPr>
            <w:tcW w:w="1701" w:type="dxa"/>
            <w:tcBorders>
              <w:bottom w:val="single" w:sz="4" w:space="0" w:color="auto"/>
            </w:tcBorders>
          </w:tcPr>
          <w:p w14:paraId="74CC31F6"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eastAsia="en-US"/>
              </w:rPr>
              <w:t>100</w:t>
            </w:r>
          </w:p>
        </w:tc>
        <w:tc>
          <w:tcPr>
            <w:tcW w:w="1701" w:type="dxa"/>
            <w:tcBorders>
              <w:bottom w:val="single" w:sz="4" w:space="0" w:color="auto"/>
            </w:tcBorders>
          </w:tcPr>
          <w:p w14:paraId="58A59D75"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val="id-ID" w:eastAsia="en-US"/>
              </w:rPr>
              <w:t>61</w:t>
            </w:r>
          </w:p>
        </w:tc>
        <w:tc>
          <w:tcPr>
            <w:tcW w:w="1701" w:type="dxa"/>
            <w:tcBorders>
              <w:bottom w:val="single" w:sz="4" w:space="0" w:color="auto"/>
            </w:tcBorders>
          </w:tcPr>
          <w:p w14:paraId="64966B57" w14:textId="77777777" w:rsidR="00980BB2" w:rsidRPr="00980BB2" w:rsidRDefault="00980BB2" w:rsidP="00980BB2">
            <w:pPr>
              <w:suppressAutoHyphens w:val="0"/>
              <w:jc w:val="right"/>
              <w:rPr>
                <w:rFonts w:ascii="Times New Roman" w:hAnsi="Times New Roman"/>
                <w:lang w:eastAsia="en-US"/>
              </w:rPr>
            </w:pPr>
            <w:r w:rsidRPr="00980BB2">
              <w:rPr>
                <w:rFonts w:ascii="Times New Roman" w:hAnsi="Times New Roman"/>
                <w:lang w:val="id-ID" w:eastAsia="en-US"/>
              </w:rPr>
              <w:t>85</w:t>
            </w:r>
          </w:p>
        </w:tc>
      </w:tr>
    </w:tbl>
    <w:p w14:paraId="2BD6CCF8" w14:textId="77777777" w:rsidR="00980BB2" w:rsidRPr="00980BB2" w:rsidRDefault="00980BB2" w:rsidP="00980BB2">
      <w:pPr>
        <w:suppressAutoHyphens w:val="0"/>
        <w:spacing w:line="276" w:lineRule="auto"/>
        <w:rPr>
          <w:rFonts w:eastAsia="Calibri"/>
          <w:lang w:eastAsia="en-US"/>
        </w:rPr>
      </w:pPr>
      <w:r w:rsidRPr="00980BB2">
        <w:rPr>
          <w:rFonts w:eastAsia="Calibri"/>
          <w:lang w:eastAsia="en-US"/>
        </w:rPr>
        <w:t>Source: Results of statistical data processing</w:t>
      </w:r>
    </w:p>
    <w:p w14:paraId="6A821464" w14:textId="77777777" w:rsidR="00980BB2" w:rsidRPr="00980BB2" w:rsidRDefault="00980BB2" w:rsidP="00980BB2">
      <w:pPr>
        <w:suppressAutoHyphens w:val="0"/>
        <w:spacing w:line="276" w:lineRule="auto"/>
        <w:ind w:firstLine="720"/>
        <w:jc w:val="both"/>
        <w:rPr>
          <w:rFonts w:eastAsia="Calibri"/>
          <w:lang w:eastAsia="en-US"/>
        </w:rPr>
      </w:pPr>
      <w:r w:rsidRPr="00980BB2">
        <w:rPr>
          <w:rFonts w:eastAsia="Calibri"/>
          <w:lang w:eastAsia="en-US"/>
        </w:rPr>
        <w:t xml:space="preserve">Table 3 shows that the results of the comparison between the average pretest scores for the experimental class and the control class were 61.90 versus 55.71. So, there is a difference in the initial state between the experimental class and the control class with a difference of 61.90 - 55.71 = 6.19. Meanwhile, the control group in the pretest had a mean score of 55.71, while in the posttest they had a mean score of 72.38. This means that there is an increase of 72.38 - 55.71 = 16.67. Furthermore, the experimental class on the pretest had a mean score of 61.90, while on the posttest it had a mean score of 85.71. This means there is an increase of 23.81. Apart from that, the comparison between the average posttest scores for the experimental class and the control class was 85.71 versus 72.38. This means that there is a difference of 13.333 in the post-test results between the experimental class and the control class. This can be used as a basis for stating that the use of audio-visual learning media can improve students’ </w:t>
      </w:r>
      <w:proofErr w:type="spellStart"/>
      <w:r w:rsidRPr="00980BB2">
        <w:rPr>
          <w:rFonts w:eastAsia="Calibri"/>
          <w:lang w:eastAsia="en-US"/>
        </w:rPr>
        <w:t>tajweed</w:t>
      </w:r>
      <w:proofErr w:type="spellEnd"/>
      <w:r w:rsidRPr="00980BB2">
        <w:rPr>
          <w:rFonts w:eastAsia="Calibri"/>
          <w:lang w:eastAsia="en-US"/>
        </w:rPr>
        <w:t xml:space="preserve"> learning outcomes.</w:t>
      </w:r>
    </w:p>
    <w:p w14:paraId="1B55396A" w14:textId="7E992D57" w:rsidR="00980BB2" w:rsidRPr="008E781F" w:rsidRDefault="00980BB2" w:rsidP="00980BB2">
      <w:pPr>
        <w:suppressAutoHyphens w:val="0"/>
        <w:spacing w:line="276" w:lineRule="auto"/>
        <w:ind w:firstLine="720"/>
        <w:jc w:val="both"/>
        <w:rPr>
          <w:rFonts w:eastAsia="Calibri"/>
          <w:lang w:eastAsia="en-US"/>
        </w:rPr>
      </w:pPr>
      <w:r w:rsidRPr="00980BB2">
        <w:rPr>
          <w:rFonts w:eastAsia="Calibri"/>
          <w:lang w:eastAsia="en-US"/>
        </w:rPr>
        <w:t xml:space="preserve">Furthermore, the results of the One-Sample Kolmogorov Smirnov test showed that the </w:t>
      </w:r>
      <w:proofErr w:type="spellStart"/>
      <w:r w:rsidRPr="00980BB2">
        <w:rPr>
          <w:rFonts w:eastAsia="Calibri"/>
          <w:lang w:eastAsia="en-US"/>
        </w:rPr>
        <w:t>Asymp</w:t>
      </w:r>
      <w:proofErr w:type="spellEnd"/>
      <w:r w:rsidRPr="00980BB2">
        <w:rPr>
          <w:rFonts w:eastAsia="Calibri"/>
          <w:lang w:eastAsia="en-US"/>
        </w:rPr>
        <w:t xml:space="preserve">. Sig = 0.867 &gt; 0.05, which is the data has a Poisson or normal distribution. Thus, a t-test can be carried out to confirm the effect of using audio-visual learning media on improving students' </w:t>
      </w:r>
      <w:proofErr w:type="spellStart"/>
      <w:r w:rsidRPr="00980BB2">
        <w:rPr>
          <w:rFonts w:eastAsia="Calibri"/>
          <w:lang w:eastAsia="en-US"/>
        </w:rPr>
        <w:t>tajweed</w:t>
      </w:r>
      <w:proofErr w:type="spellEnd"/>
      <w:r w:rsidRPr="00980BB2">
        <w:rPr>
          <w:rFonts w:eastAsia="Calibri"/>
          <w:lang w:eastAsia="en-US"/>
        </w:rPr>
        <w:t xml:space="preserve"> learning outcomes. The results of the t-test statistical data processing can be seen in the </w:t>
      </w:r>
      <w:r w:rsidR="00E478FA" w:rsidRPr="008E781F">
        <w:rPr>
          <w:rFonts w:eastAsia="Calibri"/>
          <w:lang w:eastAsia="en-US"/>
        </w:rPr>
        <w:t>T</w:t>
      </w:r>
      <w:r w:rsidRPr="00980BB2">
        <w:rPr>
          <w:rFonts w:eastAsia="Calibri"/>
          <w:lang w:eastAsia="en-US"/>
        </w:rPr>
        <w:t>able</w:t>
      </w:r>
      <w:r w:rsidR="00E478FA" w:rsidRPr="008E781F">
        <w:rPr>
          <w:rFonts w:eastAsia="Calibri"/>
          <w:lang w:eastAsia="en-US"/>
        </w:rPr>
        <w:t xml:space="preserve"> 4</w:t>
      </w:r>
      <w:r w:rsidRPr="00980BB2">
        <w:rPr>
          <w:rFonts w:eastAsia="Calibri"/>
          <w:lang w:eastAsia="en-US"/>
        </w:rPr>
        <w:t>.</w:t>
      </w:r>
    </w:p>
    <w:p w14:paraId="5ADBFC40" w14:textId="77777777" w:rsidR="00E478FA" w:rsidRPr="008E781F" w:rsidRDefault="00E478FA" w:rsidP="00980BB2">
      <w:pPr>
        <w:suppressAutoHyphens w:val="0"/>
        <w:spacing w:line="276" w:lineRule="auto"/>
        <w:ind w:firstLine="720"/>
        <w:jc w:val="both"/>
        <w:rPr>
          <w:rFonts w:eastAsia="Calibri"/>
          <w:lang w:eastAsia="en-US"/>
        </w:rPr>
      </w:pPr>
    </w:p>
    <w:p w14:paraId="0A3DF2FB" w14:textId="77777777" w:rsidR="00E478FA" w:rsidRPr="008E781F" w:rsidRDefault="00E478FA" w:rsidP="00980BB2">
      <w:pPr>
        <w:suppressAutoHyphens w:val="0"/>
        <w:spacing w:line="276" w:lineRule="auto"/>
        <w:ind w:firstLine="720"/>
        <w:jc w:val="both"/>
        <w:rPr>
          <w:rFonts w:eastAsia="Calibri"/>
          <w:lang w:eastAsia="en-US"/>
        </w:rPr>
      </w:pPr>
    </w:p>
    <w:p w14:paraId="4832BBB9" w14:textId="77777777" w:rsidR="00E478FA" w:rsidRPr="008E781F" w:rsidRDefault="00E478FA" w:rsidP="00980BB2">
      <w:pPr>
        <w:suppressAutoHyphens w:val="0"/>
        <w:spacing w:line="276" w:lineRule="auto"/>
        <w:ind w:firstLine="720"/>
        <w:jc w:val="both"/>
        <w:rPr>
          <w:rFonts w:eastAsia="Calibri"/>
          <w:lang w:eastAsia="en-US"/>
        </w:rPr>
      </w:pPr>
    </w:p>
    <w:p w14:paraId="26AD219A" w14:textId="77777777" w:rsidR="00E478FA" w:rsidRPr="008E781F" w:rsidRDefault="00E478FA" w:rsidP="00980BB2">
      <w:pPr>
        <w:suppressAutoHyphens w:val="0"/>
        <w:spacing w:line="276" w:lineRule="auto"/>
        <w:ind w:firstLine="720"/>
        <w:jc w:val="both"/>
        <w:rPr>
          <w:rFonts w:eastAsia="Calibri"/>
          <w:lang w:eastAsia="en-US"/>
        </w:rPr>
      </w:pPr>
    </w:p>
    <w:p w14:paraId="1A55F6D5" w14:textId="77777777" w:rsidR="00E478FA" w:rsidRPr="008E781F" w:rsidRDefault="00E478FA" w:rsidP="00980BB2">
      <w:pPr>
        <w:suppressAutoHyphens w:val="0"/>
        <w:spacing w:line="276" w:lineRule="auto"/>
        <w:ind w:firstLine="720"/>
        <w:jc w:val="both"/>
        <w:rPr>
          <w:rFonts w:eastAsia="Calibri"/>
          <w:lang w:eastAsia="en-US"/>
        </w:rPr>
      </w:pPr>
    </w:p>
    <w:p w14:paraId="2F885F5E" w14:textId="77777777" w:rsidR="00980BB2" w:rsidRPr="00980BB2" w:rsidRDefault="00980BB2" w:rsidP="00980BB2">
      <w:pPr>
        <w:suppressAutoHyphens w:val="0"/>
        <w:jc w:val="center"/>
        <w:rPr>
          <w:rFonts w:eastAsia="Calibri"/>
          <w:lang w:eastAsia="en-US"/>
        </w:rPr>
      </w:pPr>
      <w:r w:rsidRPr="00980BB2">
        <w:rPr>
          <w:rFonts w:eastAsia="Calibri"/>
          <w:lang w:eastAsia="en-US"/>
        </w:rPr>
        <w:lastRenderedPageBreak/>
        <w:t>Table 4. Output T-Test SPSS Application</w:t>
      </w:r>
    </w:p>
    <w:tbl>
      <w:tblPr>
        <w:tblW w:w="5000" w:type="pct"/>
        <w:tblCellMar>
          <w:left w:w="0" w:type="dxa"/>
          <w:right w:w="0" w:type="dxa"/>
        </w:tblCellMar>
        <w:tblLook w:val="0000" w:firstRow="0" w:lastRow="0" w:firstColumn="0" w:lastColumn="0" w:noHBand="0" w:noVBand="0"/>
      </w:tblPr>
      <w:tblGrid>
        <w:gridCol w:w="512"/>
        <w:gridCol w:w="1630"/>
        <w:gridCol w:w="725"/>
        <w:gridCol w:w="988"/>
        <w:gridCol w:w="975"/>
        <w:gridCol w:w="975"/>
        <w:gridCol w:w="975"/>
        <w:gridCol w:w="678"/>
        <w:gridCol w:w="678"/>
        <w:gridCol w:w="933"/>
      </w:tblGrid>
      <w:tr w:rsidR="00980BB2" w:rsidRPr="00980BB2" w14:paraId="5007FAFE" w14:textId="77777777" w:rsidTr="00430338">
        <w:trPr>
          <w:cantSplit/>
        </w:trPr>
        <w:tc>
          <w:tcPr>
            <w:tcW w:w="5000" w:type="pct"/>
            <w:gridSpan w:val="10"/>
            <w:tcBorders>
              <w:bottom w:val="single" w:sz="4" w:space="0" w:color="auto"/>
            </w:tcBorders>
            <w:shd w:val="clear" w:color="auto" w:fill="FFFFFF"/>
            <w:vAlign w:val="center"/>
          </w:tcPr>
          <w:p w14:paraId="1DBF540B" w14:textId="77777777" w:rsidR="00980BB2" w:rsidRPr="00980BB2" w:rsidRDefault="00980BB2" w:rsidP="00980BB2">
            <w:pPr>
              <w:suppressAutoHyphens w:val="0"/>
              <w:autoSpaceDE w:val="0"/>
              <w:autoSpaceDN w:val="0"/>
              <w:adjustRightInd w:val="0"/>
              <w:ind w:left="60" w:right="60"/>
              <w:jc w:val="center"/>
              <w:rPr>
                <w:rFonts w:eastAsia="Calibri"/>
                <w:color w:val="000000"/>
                <w:sz w:val="22"/>
                <w:szCs w:val="22"/>
                <w:lang w:val="id-ID" w:eastAsia="en-US"/>
              </w:rPr>
            </w:pPr>
            <w:r w:rsidRPr="00980BB2">
              <w:rPr>
                <w:rFonts w:eastAsia="Calibri"/>
                <w:color w:val="000000"/>
                <w:sz w:val="22"/>
                <w:szCs w:val="22"/>
                <w:lang w:val="id-ID" w:eastAsia="en-US"/>
              </w:rPr>
              <w:t>Paired Samples Test</w:t>
            </w:r>
          </w:p>
        </w:tc>
      </w:tr>
      <w:tr w:rsidR="00980BB2" w:rsidRPr="00980BB2" w14:paraId="4A56B5EB" w14:textId="77777777" w:rsidTr="00430338">
        <w:trPr>
          <w:cantSplit/>
        </w:trPr>
        <w:tc>
          <w:tcPr>
            <w:tcW w:w="1190" w:type="pct"/>
            <w:gridSpan w:val="2"/>
            <w:vMerge w:val="restart"/>
            <w:tcBorders>
              <w:top w:val="single" w:sz="4" w:space="0" w:color="auto"/>
            </w:tcBorders>
            <w:shd w:val="clear" w:color="auto" w:fill="FFFFFF"/>
            <w:vAlign w:val="bottom"/>
          </w:tcPr>
          <w:p w14:paraId="5D34C9AC" w14:textId="77777777" w:rsidR="00980BB2" w:rsidRPr="00980BB2" w:rsidRDefault="00980BB2" w:rsidP="00980BB2">
            <w:pPr>
              <w:suppressAutoHyphens w:val="0"/>
              <w:autoSpaceDE w:val="0"/>
              <w:autoSpaceDN w:val="0"/>
              <w:adjustRightInd w:val="0"/>
              <w:jc w:val="both"/>
              <w:rPr>
                <w:rFonts w:eastAsia="Calibri"/>
                <w:lang w:val="id-ID" w:eastAsia="en-US"/>
              </w:rPr>
            </w:pPr>
          </w:p>
        </w:tc>
        <w:tc>
          <w:tcPr>
            <w:tcW w:w="2534" w:type="pct"/>
            <w:gridSpan w:val="5"/>
            <w:tcBorders>
              <w:top w:val="single" w:sz="4" w:space="0" w:color="auto"/>
              <w:bottom w:val="single" w:sz="4" w:space="0" w:color="auto"/>
            </w:tcBorders>
            <w:shd w:val="clear" w:color="auto" w:fill="FFFFFF"/>
            <w:vAlign w:val="bottom"/>
          </w:tcPr>
          <w:p w14:paraId="4D29BECC" w14:textId="77777777" w:rsidR="00980BB2" w:rsidRPr="00980BB2" w:rsidRDefault="00980BB2" w:rsidP="00980BB2">
            <w:pPr>
              <w:suppressAutoHyphens w:val="0"/>
              <w:autoSpaceDE w:val="0"/>
              <w:autoSpaceDN w:val="0"/>
              <w:adjustRightInd w:val="0"/>
              <w:ind w:left="60" w:right="60"/>
              <w:jc w:val="center"/>
              <w:rPr>
                <w:rFonts w:eastAsia="Calibri"/>
                <w:color w:val="000000"/>
                <w:sz w:val="22"/>
                <w:szCs w:val="22"/>
                <w:lang w:val="id-ID" w:eastAsia="en-US"/>
              </w:rPr>
            </w:pPr>
            <w:r w:rsidRPr="00980BB2">
              <w:rPr>
                <w:rFonts w:eastAsia="Calibri"/>
                <w:color w:val="000000"/>
                <w:sz w:val="22"/>
                <w:szCs w:val="22"/>
                <w:lang w:val="id-ID" w:eastAsia="en-US"/>
              </w:rPr>
              <w:t>Paired Differences</w:t>
            </w:r>
          </w:p>
        </w:tc>
        <w:tc>
          <w:tcPr>
            <w:tcW w:w="378" w:type="pct"/>
            <w:vMerge w:val="restart"/>
            <w:tcBorders>
              <w:top w:val="single" w:sz="4" w:space="0" w:color="auto"/>
            </w:tcBorders>
            <w:shd w:val="clear" w:color="auto" w:fill="FFFFFF"/>
            <w:vAlign w:val="bottom"/>
          </w:tcPr>
          <w:p w14:paraId="558986DA" w14:textId="77777777" w:rsidR="00980BB2" w:rsidRPr="00980BB2" w:rsidRDefault="00980BB2" w:rsidP="00980BB2">
            <w:pPr>
              <w:suppressAutoHyphens w:val="0"/>
              <w:autoSpaceDE w:val="0"/>
              <w:autoSpaceDN w:val="0"/>
              <w:adjustRightInd w:val="0"/>
              <w:ind w:left="60" w:right="60"/>
              <w:jc w:val="center"/>
              <w:rPr>
                <w:rFonts w:eastAsia="Calibri"/>
                <w:color w:val="000000"/>
                <w:sz w:val="22"/>
                <w:szCs w:val="22"/>
                <w:lang w:val="id-ID" w:eastAsia="en-US"/>
              </w:rPr>
            </w:pPr>
            <w:r w:rsidRPr="00980BB2">
              <w:rPr>
                <w:rFonts w:eastAsia="Calibri"/>
                <w:color w:val="000000"/>
                <w:sz w:val="22"/>
                <w:szCs w:val="22"/>
                <w:lang w:val="id-ID" w:eastAsia="en-US"/>
              </w:rPr>
              <w:t>t</w:t>
            </w:r>
          </w:p>
        </w:tc>
        <w:tc>
          <w:tcPr>
            <w:tcW w:w="378" w:type="pct"/>
            <w:vMerge w:val="restart"/>
            <w:tcBorders>
              <w:top w:val="single" w:sz="4" w:space="0" w:color="auto"/>
            </w:tcBorders>
            <w:shd w:val="clear" w:color="auto" w:fill="FFFFFF"/>
            <w:vAlign w:val="bottom"/>
          </w:tcPr>
          <w:p w14:paraId="180744DF" w14:textId="77777777" w:rsidR="00980BB2" w:rsidRPr="00980BB2" w:rsidRDefault="00980BB2" w:rsidP="00980BB2">
            <w:pPr>
              <w:suppressAutoHyphens w:val="0"/>
              <w:autoSpaceDE w:val="0"/>
              <w:autoSpaceDN w:val="0"/>
              <w:adjustRightInd w:val="0"/>
              <w:ind w:left="60" w:right="60"/>
              <w:jc w:val="center"/>
              <w:rPr>
                <w:rFonts w:eastAsia="Calibri"/>
                <w:color w:val="000000"/>
                <w:sz w:val="22"/>
                <w:szCs w:val="22"/>
                <w:lang w:val="id-ID" w:eastAsia="en-US"/>
              </w:rPr>
            </w:pPr>
            <w:r w:rsidRPr="00980BB2">
              <w:rPr>
                <w:rFonts w:eastAsia="Calibri"/>
                <w:color w:val="000000"/>
                <w:sz w:val="22"/>
                <w:szCs w:val="22"/>
                <w:lang w:val="id-ID" w:eastAsia="en-US"/>
              </w:rPr>
              <w:t>df</w:t>
            </w:r>
          </w:p>
        </w:tc>
        <w:tc>
          <w:tcPr>
            <w:tcW w:w="519" w:type="pct"/>
            <w:vMerge w:val="restart"/>
            <w:tcBorders>
              <w:top w:val="single" w:sz="4" w:space="0" w:color="auto"/>
            </w:tcBorders>
            <w:shd w:val="clear" w:color="auto" w:fill="FFFFFF"/>
            <w:vAlign w:val="bottom"/>
          </w:tcPr>
          <w:p w14:paraId="69E9D329" w14:textId="77777777" w:rsidR="00980BB2" w:rsidRPr="00980BB2" w:rsidRDefault="00980BB2" w:rsidP="00980BB2">
            <w:pPr>
              <w:suppressAutoHyphens w:val="0"/>
              <w:autoSpaceDE w:val="0"/>
              <w:autoSpaceDN w:val="0"/>
              <w:adjustRightInd w:val="0"/>
              <w:ind w:left="60" w:right="60"/>
              <w:jc w:val="center"/>
              <w:rPr>
                <w:rFonts w:eastAsia="Calibri"/>
                <w:color w:val="000000"/>
                <w:sz w:val="22"/>
                <w:szCs w:val="22"/>
                <w:lang w:val="id-ID" w:eastAsia="en-US"/>
              </w:rPr>
            </w:pPr>
            <w:r w:rsidRPr="00980BB2">
              <w:rPr>
                <w:rFonts w:eastAsia="Calibri"/>
                <w:color w:val="000000"/>
                <w:sz w:val="22"/>
                <w:szCs w:val="22"/>
                <w:lang w:val="id-ID" w:eastAsia="en-US"/>
              </w:rPr>
              <w:t>Sig. (2-ta</w:t>
            </w:r>
            <w:r w:rsidRPr="00980BB2">
              <w:rPr>
                <w:rFonts w:eastAsia="Calibri"/>
                <w:color w:val="BFBFBF"/>
                <w:spacing w:val="-20"/>
                <w:w w:val="1"/>
                <w:sz w:val="22"/>
                <w:szCs w:val="22"/>
                <w:lang w:val="id-ID" w:eastAsia="en-US"/>
              </w:rPr>
              <w:t>l</w:t>
            </w:r>
            <w:r w:rsidRPr="00980BB2">
              <w:rPr>
                <w:rFonts w:eastAsia="Calibri"/>
                <w:color w:val="000000"/>
                <w:sz w:val="22"/>
                <w:szCs w:val="22"/>
                <w:lang w:val="id-ID" w:eastAsia="en-US"/>
              </w:rPr>
              <w:t>iled)</w:t>
            </w:r>
          </w:p>
        </w:tc>
      </w:tr>
      <w:tr w:rsidR="00980BB2" w:rsidRPr="00980BB2" w14:paraId="74BE7884" w14:textId="77777777" w:rsidTr="00430338">
        <w:trPr>
          <w:cantSplit/>
        </w:trPr>
        <w:tc>
          <w:tcPr>
            <w:tcW w:w="1190" w:type="pct"/>
            <w:gridSpan w:val="2"/>
            <w:vMerge/>
            <w:tcBorders>
              <w:top w:val="single" w:sz="4" w:space="0" w:color="auto"/>
            </w:tcBorders>
            <w:shd w:val="clear" w:color="auto" w:fill="FFFFFF"/>
            <w:vAlign w:val="bottom"/>
          </w:tcPr>
          <w:p w14:paraId="7B8DD308" w14:textId="77777777" w:rsidR="00980BB2" w:rsidRPr="00980BB2" w:rsidRDefault="00980BB2" w:rsidP="00980BB2">
            <w:pPr>
              <w:suppressAutoHyphens w:val="0"/>
              <w:autoSpaceDE w:val="0"/>
              <w:autoSpaceDN w:val="0"/>
              <w:adjustRightInd w:val="0"/>
              <w:jc w:val="both"/>
              <w:rPr>
                <w:rFonts w:eastAsia="Calibri"/>
                <w:color w:val="000000"/>
                <w:lang w:val="id-ID" w:eastAsia="en-US"/>
              </w:rPr>
            </w:pPr>
          </w:p>
        </w:tc>
        <w:tc>
          <w:tcPr>
            <w:tcW w:w="378" w:type="pct"/>
            <w:vMerge w:val="restart"/>
            <w:tcBorders>
              <w:top w:val="single" w:sz="4" w:space="0" w:color="auto"/>
            </w:tcBorders>
            <w:shd w:val="clear" w:color="auto" w:fill="FFFFFF"/>
            <w:vAlign w:val="bottom"/>
          </w:tcPr>
          <w:p w14:paraId="0AE5D1DF" w14:textId="77777777" w:rsidR="00980BB2" w:rsidRPr="00980BB2" w:rsidRDefault="00980BB2" w:rsidP="00980BB2">
            <w:pPr>
              <w:suppressAutoHyphens w:val="0"/>
              <w:autoSpaceDE w:val="0"/>
              <w:autoSpaceDN w:val="0"/>
              <w:adjustRightInd w:val="0"/>
              <w:ind w:left="60" w:right="60"/>
              <w:jc w:val="center"/>
              <w:rPr>
                <w:rFonts w:eastAsia="Calibri"/>
                <w:color w:val="000000"/>
                <w:sz w:val="22"/>
                <w:szCs w:val="22"/>
                <w:lang w:val="id-ID" w:eastAsia="en-US"/>
              </w:rPr>
            </w:pPr>
            <w:r w:rsidRPr="00980BB2">
              <w:rPr>
                <w:rFonts w:eastAsia="Calibri"/>
                <w:color w:val="000000"/>
                <w:sz w:val="22"/>
                <w:szCs w:val="22"/>
                <w:lang w:val="id-ID" w:eastAsia="en-US"/>
              </w:rPr>
              <w:t>Mea</w:t>
            </w:r>
            <w:r w:rsidRPr="00980BB2">
              <w:rPr>
                <w:rFonts w:eastAsia="Calibri"/>
                <w:color w:val="BFBFBF"/>
                <w:spacing w:val="-20"/>
                <w:w w:val="1"/>
                <w:sz w:val="22"/>
                <w:szCs w:val="22"/>
                <w:lang w:val="id-ID" w:eastAsia="en-US"/>
              </w:rPr>
              <w:t>l</w:t>
            </w:r>
            <w:r w:rsidRPr="00980BB2">
              <w:rPr>
                <w:rFonts w:eastAsia="Calibri"/>
                <w:color w:val="000000"/>
                <w:sz w:val="22"/>
                <w:szCs w:val="22"/>
                <w:lang w:val="id-ID" w:eastAsia="en-US"/>
              </w:rPr>
              <w:t>n</w:t>
            </w:r>
          </w:p>
        </w:tc>
        <w:tc>
          <w:tcPr>
            <w:tcW w:w="531" w:type="pct"/>
            <w:vMerge w:val="restart"/>
            <w:tcBorders>
              <w:top w:val="single" w:sz="4" w:space="0" w:color="auto"/>
            </w:tcBorders>
            <w:shd w:val="clear" w:color="auto" w:fill="FFFFFF"/>
            <w:vAlign w:val="bottom"/>
          </w:tcPr>
          <w:p w14:paraId="2DB10425" w14:textId="77777777" w:rsidR="00980BB2" w:rsidRPr="00980BB2" w:rsidRDefault="00980BB2" w:rsidP="00980BB2">
            <w:pPr>
              <w:suppressAutoHyphens w:val="0"/>
              <w:autoSpaceDE w:val="0"/>
              <w:autoSpaceDN w:val="0"/>
              <w:adjustRightInd w:val="0"/>
              <w:ind w:left="60" w:right="60"/>
              <w:jc w:val="center"/>
              <w:rPr>
                <w:rFonts w:eastAsia="Calibri"/>
                <w:color w:val="000000"/>
                <w:sz w:val="22"/>
                <w:szCs w:val="22"/>
                <w:lang w:val="id-ID" w:eastAsia="en-US"/>
              </w:rPr>
            </w:pPr>
            <w:r w:rsidRPr="00980BB2">
              <w:rPr>
                <w:rFonts w:eastAsia="Calibri"/>
                <w:color w:val="000000"/>
                <w:sz w:val="22"/>
                <w:szCs w:val="22"/>
                <w:lang w:val="id-ID" w:eastAsia="en-US"/>
              </w:rPr>
              <w:t>Std. Devia</w:t>
            </w:r>
            <w:r w:rsidRPr="00980BB2">
              <w:rPr>
                <w:rFonts w:eastAsia="Calibri"/>
                <w:color w:val="BFBFBF"/>
                <w:spacing w:val="-20"/>
                <w:w w:val="1"/>
                <w:sz w:val="22"/>
                <w:szCs w:val="22"/>
                <w:lang w:val="id-ID" w:eastAsia="en-US"/>
              </w:rPr>
              <w:t>l</w:t>
            </w:r>
            <w:r w:rsidRPr="00980BB2">
              <w:rPr>
                <w:rFonts w:eastAsia="Calibri"/>
                <w:color w:val="000000"/>
                <w:sz w:val="22"/>
                <w:szCs w:val="22"/>
                <w:lang w:val="id-ID" w:eastAsia="en-US"/>
              </w:rPr>
              <w:t>tion</w:t>
            </w:r>
          </w:p>
        </w:tc>
        <w:tc>
          <w:tcPr>
            <w:tcW w:w="542" w:type="pct"/>
            <w:vMerge w:val="restart"/>
            <w:tcBorders>
              <w:top w:val="single" w:sz="4" w:space="0" w:color="auto"/>
            </w:tcBorders>
            <w:shd w:val="clear" w:color="auto" w:fill="FFFFFF"/>
            <w:vAlign w:val="bottom"/>
          </w:tcPr>
          <w:p w14:paraId="7AF8D8C1" w14:textId="77777777" w:rsidR="00980BB2" w:rsidRPr="00980BB2" w:rsidRDefault="00980BB2" w:rsidP="00980BB2">
            <w:pPr>
              <w:suppressAutoHyphens w:val="0"/>
              <w:autoSpaceDE w:val="0"/>
              <w:autoSpaceDN w:val="0"/>
              <w:adjustRightInd w:val="0"/>
              <w:ind w:left="60" w:right="60"/>
              <w:jc w:val="center"/>
              <w:rPr>
                <w:rFonts w:eastAsia="Calibri"/>
                <w:color w:val="000000"/>
                <w:sz w:val="22"/>
                <w:szCs w:val="22"/>
                <w:lang w:val="id-ID" w:eastAsia="en-US"/>
              </w:rPr>
            </w:pPr>
            <w:r w:rsidRPr="00980BB2">
              <w:rPr>
                <w:rFonts w:eastAsia="Calibri"/>
                <w:color w:val="000000"/>
                <w:sz w:val="22"/>
                <w:szCs w:val="22"/>
                <w:lang w:val="id-ID" w:eastAsia="en-US"/>
              </w:rPr>
              <w:t>Std. Error Mea</w:t>
            </w:r>
            <w:r w:rsidRPr="00980BB2">
              <w:rPr>
                <w:rFonts w:eastAsia="Calibri"/>
                <w:color w:val="BFBFBF"/>
                <w:spacing w:val="-20"/>
                <w:w w:val="1"/>
                <w:sz w:val="22"/>
                <w:szCs w:val="22"/>
                <w:lang w:val="id-ID" w:eastAsia="en-US"/>
              </w:rPr>
              <w:t>l</w:t>
            </w:r>
            <w:r w:rsidRPr="00980BB2">
              <w:rPr>
                <w:rFonts w:eastAsia="Calibri"/>
                <w:color w:val="000000"/>
                <w:sz w:val="22"/>
                <w:szCs w:val="22"/>
                <w:lang w:val="id-ID" w:eastAsia="en-US"/>
              </w:rPr>
              <w:t>n</w:t>
            </w:r>
          </w:p>
        </w:tc>
        <w:tc>
          <w:tcPr>
            <w:tcW w:w="1084" w:type="pct"/>
            <w:gridSpan w:val="2"/>
            <w:tcBorders>
              <w:top w:val="single" w:sz="4" w:space="0" w:color="auto"/>
              <w:bottom w:val="single" w:sz="4" w:space="0" w:color="auto"/>
            </w:tcBorders>
            <w:shd w:val="clear" w:color="auto" w:fill="FFFFFF"/>
            <w:vAlign w:val="bottom"/>
          </w:tcPr>
          <w:p w14:paraId="37A051BC" w14:textId="77777777" w:rsidR="00980BB2" w:rsidRPr="00980BB2" w:rsidRDefault="00980BB2" w:rsidP="00980BB2">
            <w:pPr>
              <w:suppressAutoHyphens w:val="0"/>
              <w:autoSpaceDE w:val="0"/>
              <w:autoSpaceDN w:val="0"/>
              <w:adjustRightInd w:val="0"/>
              <w:ind w:left="60" w:right="60"/>
              <w:jc w:val="center"/>
              <w:rPr>
                <w:rFonts w:eastAsia="Calibri"/>
                <w:color w:val="000000"/>
                <w:sz w:val="22"/>
                <w:szCs w:val="22"/>
                <w:lang w:val="id-ID" w:eastAsia="en-US"/>
              </w:rPr>
            </w:pPr>
            <w:r w:rsidRPr="00980BB2">
              <w:rPr>
                <w:rFonts w:eastAsia="Calibri"/>
                <w:color w:val="000000"/>
                <w:sz w:val="22"/>
                <w:szCs w:val="22"/>
                <w:lang w:val="id-ID" w:eastAsia="en-US"/>
              </w:rPr>
              <w:t>95% Confidence Interva</w:t>
            </w:r>
            <w:r w:rsidRPr="00980BB2">
              <w:rPr>
                <w:rFonts w:eastAsia="Calibri"/>
                <w:color w:val="BFBFBF"/>
                <w:spacing w:val="-20"/>
                <w:w w:val="1"/>
                <w:sz w:val="22"/>
                <w:szCs w:val="22"/>
                <w:lang w:val="id-ID" w:eastAsia="en-US"/>
              </w:rPr>
              <w:t>l</w:t>
            </w:r>
            <w:r w:rsidRPr="00980BB2">
              <w:rPr>
                <w:rFonts w:eastAsia="Calibri"/>
                <w:color w:val="000000"/>
                <w:sz w:val="22"/>
                <w:szCs w:val="22"/>
                <w:lang w:val="id-ID" w:eastAsia="en-US"/>
              </w:rPr>
              <w:t>l of the Difference</w:t>
            </w:r>
          </w:p>
        </w:tc>
        <w:tc>
          <w:tcPr>
            <w:tcW w:w="378" w:type="pct"/>
            <w:vMerge/>
            <w:shd w:val="clear" w:color="auto" w:fill="FFFFFF"/>
            <w:vAlign w:val="bottom"/>
          </w:tcPr>
          <w:p w14:paraId="1C6C693F" w14:textId="77777777" w:rsidR="00980BB2" w:rsidRPr="00980BB2" w:rsidRDefault="00980BB2" w:rsidP="00980BB2">
            <w:pPr>
              <w:suppressAutoHyphens w:val="0"/>
              <w:autoSpaceDE w:val="0"/>
              <w:autoSpaceDN w:val="0"/>
              <w:adjustRightInd w:val="0"/>
              <w:jc w:val="center"/>
              <w:rPr>
                <w:rFonts w:eastAsia="Calibri"/>
                <w:color w:val="000000"/>
                <w:sz w:val="22"/>
                <w:szCs w:val="22"/>
                <w:lang w:val="id-ID" w:eastAsia="en-US"/>
              </w:rPr>
            </w:pPr>
          </w:p>
        </w:tc>
        <w:tc>
          <w:tcPr>
            <w:tcW w:w="378" w:type="pct"/>
            <w:vMerge/>
            <w:shd w:val="clear" w:color="auto" w:fill="FFFFFF"/>
            <w:vAlign w:val="bottom"/>
          </w:tcPr>
          <w:p w14:paraId="060E6876" w14:textId="77777777" w:rsidR="00980BB2" w:rsidRPr="00980BB2" w:rsidRDefault="00980BB2" w:rsidP="00980BB2">
            <w:pPr>
              <w:suppressAutoHyphens w:val="0"/>
              <w:autoSpaceDE w:val="0"/>
              <w:autoSpaceDN w:val="0"/>
              <w:adjustRightInd w:val="0"/>
              <w:jc w:val="center"/>
              <w:rPr>
                <w:rFonts w:eastAsia="Calibri"/>
                <w:color w:val="000000"/>
                <w:sz w:val="22"/>
                <w:szCs w:val="22"/>
                <w:lang w:val="id-ID" w:eastAsia="en-US"/>
              </w:rPr>
            </w:pPr>
          </w:p>
        </w:tc>
        <w:tc>
          <w:tcPr>
            <w:tcW w:w="519" w:type="pct"/>
            <w:vMerge/>
            <w:shd w:val="clear" w:color="auto" w:fill="FFFFFF"/>
            <w:vAlign w:val="bottom"/>
          </w:tcPr>
          <w:p w14:paraId="71CA30C9" w14:textId="77777777" w:rsidR="00980BB2" w:rsidRPr="00980BB2" w:rsidRDefault="00980BB2" w:rsidP="00980BB2">
            <w:pPr>
              <w:suppressAutoHyphens w:val="0"/>
              <w:autoSpaceDE w:val="0"/>
              <w:autoSpaceDN w:val="0"/>
              <w:adjustRightInd w:val="0"/>
              <w:jc w:val="center"/>
              <w:rPr>
                <w:rFonts w:eastAsia="Calibri"/>
                <w:color w:val="000000"/>
                <w:sz w:val="22"/>
                <w:szCs w:val="22"/>
                <w:lang w:val="id-ID" w:eastAsia="en-US"/>
              </w:rPr>
            </w:pPr>
          </w:p>
        </w:tc>
      </w:tr>
      <w:tr w:rsidR="00980BB2" w:rsidRPr="00980BB2" w14:paraId="1C2DB128" w14:textId="77777777" w:rsidTr="00430338">
        <w:trPr>
          <w:cantSplit/>
        </w:trPr>
        <w:tc>
          <w:tcPr>
            <w:tcW w:w="1190" w:type="pct"/>
            <w:gridSpan w:val="2"/>
            <w:vMerge/>
            <w:tcBorders>
              <w:top w:val="single" w:sz="4" w:space="0" w:color="auto"/>
              <w:bottom w:val="single" w:sz="4" w:space="0" w:color="auto"/>
            </w:tcBorders>
            <w:shd w:val="clear" w:color="auto" w:fill="FFFFFF"/>
            <w:vAlign w:val="bottom"/>
          </w:tcPr>
          <w:p w14:paraId="4A225690" w14:textId="77777777" w:rsidR="00980BB2" w:rsidRPr="00980BB2" w:rsidRDefault="00980BB2" w:rsidP="00980BB2">
            <w:pPr>
              <w:suppressAutoHyphens w:val="0"/>
              <w:autoSpaceDE w:val="0"/>
              <w:autoSpaceDN w:val="0"/>
              <w:adjustRightInd w:val="0"/>
              <w:jc w:val="both"/>
              <w:rPr>
                <w:rFonts w:eastAsia="Calibri"/>
                <w:color w:val="000000"/>
                <w:lang w:val="id-ID" w:eastAsia="en-US"/>
              </w:rPr>
            </w:pPr>
          </w:p>
        </w:tc>
        <w:tc>
          <w:tcPr>
            <w:tcW w:w="378" w:type="pct"/>
            <w:vMerge/>
            <w:tcBorders>
              <w:top w:val="single" w:sz="4" w:space="0" w:color="auto"/>
              <w:bottom w:val="single" w:sz="4" w:space="0" w:color="auto"/>
            </w:tcBorders>
            <w:shd w:val="clear" w:color="auto" w:fill="FFFFFF"/>
            <w:vAlign w:val="bottom"/>
          </w:tcPr>
          <w:p w14:paraId="225FC0D5" w14:textId="77777777" w:rsidR="00980BB2" w:rsidRPr="00980BB2" w:rsidRDefault="00980BB2" w:rsidP="00980BB2">
            <w:pPr>
              <w:suppressAutoHyphens w:val="0"/>
              <w:autoSpaceDE w:val="0"/>
              <w:autoSpaceDN w:val="0"/>
              <w:adjustRightInd w:val="0"/>
              <w:jc w:val="both"/>
              <w:rPr>
                <w:rFonts w:eastAsia="Calibri"/>
                <w:color w:val="000000"/>
                <w:lang w:val="id-ID" w:eastAsia="en-US"/>
              </w:rPr>
            </w:pPr>
          </w:p>
        </w:tc>
        <w:tc>
          <w:tcPr>
            <w:tcW w:w="531" w:type="pct"/>
            <w:vMerge/>
            <w:tcBorders>
              <w:top w:val="single" w:sz="4" w:space="0" w:color="auto"/>
              <w:bottom w:val="single" w:sz="4" w:space="0" w:color="auto"/>
            </w:tcBorders>
            <w:shd w:val="clear" w:color="auto" w:fill="FFFFFF"/>
            <w:vAlign w:val="bottom"/>
          </w:tcPr>
          <w:p w14:paraId="4E758225" w14:textId="77777777" w:rsidR="00980BB2" w:rsidRPr="00980BB2" w:rsidRDefault="00980BB2" w:rsidP="00980BB2">
            <w:pPr>
              <w:suppressAutoHyphens w:val="0"/>
              <w:autoSpaceDE w:val="0"/>
              <w:autoSpaceDN w:val="0"/>
              <w:adjustRightInd w:val="0"/>
              <w:jc w:val="both"/>
              <w:rPr>
                <w:rFonts w:eastAsia="Calibri"/>
                <w:color w:val="000000"/>
                <w:lang w:val="id-ID" w:eastAsia="en-US"/>
              </w:rPr>
            </w:pPr>
          </w:p>
        </w:tc>
        <w:tc>
          <w:tcPr>
            <w:tcW w:w="542" w:type="pct"/>
            <w:vMerge/>
            <w:tcBorders>
              <w:top w:val="single" w:sz="4" w:space="0" w:color="auto"/>
              <w:bottom w:val="single" w:sz="4" w:space="0" w:color="auto"/>
            </w:tcBorders>
            <w:shd w:val="clear" w:color="auto" w:fill="FFFFFF"/>
            <w:vAlign w:val="bottom"/>
          </w:tcPr>
          <w:p w14:paraId="0D0EAC52" w14:textId="77777777" w:rsidR="00980BB2" w:rsidRPr="00980BB2" w:rsidRDefault="00980BB2" w:rsidP="00980BB2">
            <w:pPr>
              <w:suppressAutoHyphens w:val="0"/>
              <w:autoSpaceDE w:val="0"/>
              <w:autoSpaceDN w:val="0"/>
              <w:adjustRightInd w:val="0"/>
              <w:jc w:val="both"/>
              <w:rPr>
                <w:rFonts w:eastAsia="Calibri"/>
                <w:color w:val="000000"/>
                <w:lang w:val="id-ID" w:eastAsia="en-US"/>
              </w:rPr>
            </w:pPr>
          </w:p>
        </w:tc>
        <w:tc>
          <w:tcPr>
            <w:tcW w:w="542" w:type="pct"/>
            <w:tcBorders>
              <w:top w:val="single" w:sz="4" w:space="0" w:color="auto"/>
              <w:bottom w:val="single" w:sz="4" w:space="0" w:color="auto"/>
            </w:tcBorders>
            <w:shd w:val="clear" w:color="auto" w:fill="FFFFFF"/>
            <w:vAlign w:val="bottom"/>
          </w:tcPr>
          <w:p w14:paraId="06F58854" w14:textId="77777777" w:rsidR="00980BB2" w:rsidRPr="00980BB2" w:rsidRDefault="00980BB2" w:rsidP="00980BB2">
            <w:pPr>
              <w:suppressAutoHyphens w:val="0"/>
              <w:autoSpaceDE w:val="0"/>
              <w:autoSpaceDN w:val="0"/>
              <w:adjustRightInd w:val="0"/>
              <w:ind w:left="60" w:right="60"/>
              <w:jc w:val="center"/>
              <w:rPr>
                <w:rFonts w:eastAsia="Calibri"/>
                <w:color w:val="000000"/>
                <w:sz w:val="22"/>
                <w:szCs w:val="22"/>
                <w:lang w:val="id-ID" w:eastAsia="en-US"/>
              </w:rPr>
            </w:pPr>
            <w:r w:rsidRPr="00980BB2">
              <w:rPr>
                <w:rFonts w:eastAsia="Calibri"/>
                <w:color w:val="000000"/>
                <w:sz w:val="22"/>
                <w:szCs w:val="22"/>
                <w:lang w:val="id-ID" w:eastAsia="en-US"/>
              </w:rPr>
              <w:t>Lower</w:t>
            </w:r>
          </w:p>
        </w:tc>
        <w:tc>
          <w:tcPr>
            <w:tcW w:w="542" w:type="pct"/>
            <w:tcBorders>
              <w:top w:val="single" w:sz="4" w:space="0" w:color="auto"/>
              <w:bottom w:val="single" w:sz="4" w:space="0" w:color="auto"/>
            </w:tcBorders>
            <w:shd w:val="clear" w:color="auto" w:fill="FFFFFF"/>
            <w:vAlign w:val="bottom"/>
          </w:tcPr>
          <w:p w14:paraId="147BBD62" w14:textId="77777777" w:rsidR="00980BB2" w:rsidRPr="00980BB2" w:rsidRDefault="00980BB2" w:rsidP="00980BB2">
            <w:pPr>
              <w:suppressAutoHyphens w:val="0"/>
              <w:autoSpaceDE w:val="0"/>
              <w:autoSpaceDN w:val="0"/>
              <w:adjustRightInd w:val="0"/>
              <w:ind w:left="60" w:right="60"/>
              <w:jc w:val="center"/>
              <w:rPr>
                <w:rFonts w:eastAsia="Calibri"/>
                <w:color w:val="000000"/>
                <w:sz w:val="22"/>
                <w:szCs w:val="22"/>
                <w:lang w:val="id-ID" w:eastAsia="en-US"/>
              </w:rPr>
            </w:pPr>
            <w:r w:rsidRPr="00980BB2">
              <w:rPr>
                <w:rFonts w:eastAsia="Calibri"/>
                <w:color w:val="000000"/>
                <w:sz w:val="22"/>
                <w:szCs w:val="22"/>
                <w:lang w:val="id-ID" w:eastAsia="en-US"/>
              </w:rPr>
              <w:t>Upper</w:t>
            </w:r>
          </w:p>
        </w:tc>
        <w:tc>
          <w:tcPr>
            <w:tcW w:w="378" w:type="pct"/>
            <w:vMerge/>
            <w:tcBorders>
              <w:bottom w:val="single" w:sz="4" w:space="0" w:color="auto"/>
            </w:tcBorders>
            <w:shd w:val="clear" w:color="auto" w:fill="FFFFFF"/>
            <w:vAlign w:val="bottom"/>
          </w:tcPr>
          <w:p w14:paraId="6A1D1B49" w14:textId="77777777" w:rsidR="00980BB2" w:rsidRPr="00980BB2" w:rsidRDefault="00980BB2" w:rsidP="00980BB2">
            <w:pPr>
              <w:suppressAutoHyphens w:val="0"/>
              <w:autoSpaceDE w:val="0"/>
              <w:autoSpaceDN w:val="0"/>
              <w:adjustRightInd w:val="0"/>
              <w:jc w:val="both"/>
              <w:rPr>
                <w:rFonts w:eastAsia="Calibri"/>
                <w:color w:val="000000"/>
                <w:lang w:val="id-ID" w:eastAsia="en-US"/>
              </w:rPr>
            </w:pPr>
          </w:p>
        </w:tc>
        <w:tc>
          <w:tcPr>
            <w:tcW w:w="378" w:type="pct"/>
            <w:vMerge/>
            <w:tcBorders>
              <w:bottom w:val="single" w:sz="4" w:space="0" w:color="auto"/>
            </w:tcBorders>
            <w:shd w:val="clear" w:color="auto" w:fill="FFFFFF"/>
            <w:vAlign w:val="bottom"/>
          </w:tcPr>
          <w:p w14:paraId="79ACB2AE" w14:textId="77777777" w:rsidR="00980BB2" w:rsidRPr="00980BB2" w:rsidRDefault="00980BB2" w:rsidP="00980BB2">
            <w:pPr>
              <w:suppressAutoHyphens w:val="0"/>
              <w:autoSpaceDE w:val="0"/>
              <w:autoSpaceDN w:val="0"/>
              <w:adjustRightInd w:val="0"/>
              <w:jc w:val="both"/>
              <w:rPr>
                <w:rFonts w:eastAsia="Calibri"/>
                <w:color w:val="000000"/>
                <w:lang w:val="id-ID" w:eastAsia="en-US"/>
              </w:rPr>
            </w:pPr>
          </w:p>
        </w:tc>
        <w:tc>
          <w:tcPr>
            <w:tcW w:w="519" w:type="pct"/>
            <w:vMerge/>
            <w:tcBorders>
              <w:bottom w:val="single" w:sz="4" w:space="0" w:color="auto"/>
            </w:tcBorders>
            <w:shd w:val="clear" w:color="auto" w:fill="FFFFFF"/>
            <w:vAlign w:val="bottom"/>
          </w:tcPr>
          <w:p w14:paraId="714FC461" w14:textId="77777777" w:rsidR="00980BB2" w:rsidRPr="00980BB2" w:rsidRDefault="00980BB2" w:rsidP="00980BB2">
            <w:pPr>
              <w:suppressAutoHyphens w:val="0"/>
              <w:autoSpaceDE w:val="0"/>
              <w:autoSpaceDN w:val="0"/>
              <w:adjustRightInd w:val="0"/>
              <w:jc w:val="both"/>
              <w:rPr>
                <w:rFonts w:eastAsia="Calibri"/>
                <w:color w:val="000000"/>
                <w:lang w:val="id-ID" w:eastAsia="en-US"/>
              </w:rPr>
            </w:pPr>
          </w:p>
        </w:tc>
      </w:tr>
      <w:tr w:rsidR="00980BB2" w:rsidRPr="00980BB2" w14:paraId="74B9629E" w14:textId="77777777" w:rsidTr="00430338">
        <w:trPr>
          <w:cantSplit/>
        </w:trPr>
        <w:tc>
          <w:tcPr>
            <w:tcW w:w="287" w:type="pct"/>
            <w:tcBorders>
              <w:top w:val="single" w:sz="4" w:space="0" w:color="auto"/>
              <w:bottom w:val="single" w:sz="4" w:space="0" w:color="auto"/>
            </w:tcBorders>
            <w:shd w:val="clear" w:color="auto" w:fill="FFFFFF"/>
          </w:tcPr>
          <w:p w14:paraId="1FF1FF02" w14:textId="77777777" w:rsidR="00980BB2" w:rsidRPr="00980BB2" w:rsidRDefault="00980BB2" w:rsidP="00980BB2">
            <w:pPr>
              <w:suppressAutoHyphens w:val="0"/>
              <w:autoSpaceDE w:val="0"/>
              <w:autoSpaceDN w:val="0"/>
              <w:adjustRightInd w:val="0"/>
              <w:ind w:left="60" w:right="60"/>
              <w:jc w:val="center"/>
              <w:rPr>
                <w:rFonts w:eastAsia="Calibri"/>
                <w:color w:val="000000"/>
                <w:sz w:val="22"/>
                <w:szCs w:val="22"/>
                <w:lang w:val="id-ID" w:eastAsia="en-US"/>
              </w:rPr>
            </w:pPr>
            <w:r w:rsidRPr="00980BB2">
              <w:rPr>
                <w:rFonts w:eastAsia="Calibri"/>
                <w:color w:val="000000"/>
                <w:sz w:val="22"/>
                <w:szCs w:val="22"/>
                <w:lang w:val="id-ID" w:eastAsia="en-US"/>
              </w:rPr>
              <w:t>Pair 1</w:t>
            </w:r>
          </w:p>
        </w:tc>
        <w:tc>
          <w:tcPr>
            <w:tcW w:w="903" w:type="pct"/>
            <w:tcBorders>
              <w:top w:val="single" w:sz="4" w:space="0" w:color="auto"/>
              <w:bottom w:val="single" w:sz="4" w:space="0" w:color="auto"/>
            </w:tcBorders>
            <w:shd w:val="clear" w:color="auto" w:fill="FFFFFF"/>
          </w:tcPr>
          <w:p w14:paraId="21D0C167" w14:textId="77777777" w:rsidR="00980BB2" w:rsidRPr="00980BB2" w:rsidRDefault="00980BB2" w:rsidP="00980BB2">
            <w:pPr>
              <w:suppressAutoHyphens w:val="0"/>
              <w:autoSpaceDE w:val="0"/>
              <w:autoSpaceDN w:val="0"/>
              <w:adjustRightInd w:val="0"/>
              <w:ind w:left="60" w:right="60"/>
              <w:jc w:val="center"/>
              <w:rPr>
                <w:rFonts w:eastAsia="Calibri"/>
                <w:color w:val="000000"/>
                <w:sz w:val="22"/>
                <w:szCs w:val="22"/>
                <w:lang w:val="id-ID" w:eastAsia="en-US"/>
              </w:rPr>
            </w:pPr>
            <w:r w:rsidRPr="00980BB2">
              <w:rPr>
                <w:rFonts w:eastAsia="Calibri"/>
                <w:color w:val="000000"/>
                <w:sz w:val="22"/>
                <w:szCs w:val="22"/>
                <w:lang w:val="id-ID" w:eastAsia="en-US"/>
              </w:rPr>
              <w:t>Experiment Class - Control Class</w:t>
            </w:r>
          </w:p>
        </w:tc>
        <w:tc>
          <w:tcPr>
            <w:tcW w:w="378" w:type="pct"/>
            <w:tcBorders>
              <w:top w:val="single" w:sz="4" w:space="0" w:color="auto"/>
              <w:bottom w:val="single" w:sz="4" w:space="0" w:color="auto"/>
            </w:tcBorders>
            <w:shd w:val="clear" w:color="auto" w:fill="FFFFFF"/>
            <w:vAlign w:val="center"/>
          </w:tcPr>
          <w:p w14:paraId="60983F71" w14:textId="77777777" w:rsidR="00980BB2" w:rsidRPr="00980BB2" w:rsidRDefault="00980BB2" w:rsidP="00980BB2">
            <w:pPr>
              <w:suppressAutoHyphens w:val="0"/>
              <w:autoSpaceDE w:val="0"/>
              <w:autoSpaceDN w:val="0"/>
              <w:adjustRightInd w:val="0"/>
              <w:ind w:left="60" w:right="60"/>
              <w:jc w:val="center"/>
              <w:rPr>
                <w:rFonts w:eastAsia="Calibri"/>
                <w:color w:val="000000"/>
                <w:sz w:val="22"/>
                <w:szCs w:val="22"/>
                <w:lang w:val="id-ID" w:eastAsia="en-US"/>
              </w:rPr>
            </w:pPr>
            <w:r w:rsidRPr="00980BB2">
              <w:rPr>
                <w:rFonts w:eastAsia="Calibri"/>
                <w:color w:val="000000"/>
                <w:sz w:val="22"/>
                <w:szCs w:val="22"/>
                <w:lang w:val="id-ID" w:eastAsia="en-US"/>
              </w:rPr>
              <w:t>13.333</w:t>
            </w:r>
          </w:p>
        </w:tc>
        <w:tc>
          <w:tcPr>
            <w:tcW w:w="531" w:type="pct"/>
            <w:tcBorders>
              <w:top w:val="single" w:sz="4" w:space="0" w:color="auto"/>
              <w:bottom w:val="single" w:sz="4" w:space="0" w:color="auto"/>
            </w:tcBorders>
            <w:shd w:val="clear" w:color="auto" w:fill="FFFFFF"/>
            <w:vAlign w:val="center"/>
          </w:tcPr>
          <w:p w14:paraId="4BC6C6A4" w14:textId="77777777" w:rsidR="00980BB2" w:rsidRPr="00980BB2" w:rsidRDefault="00980BB2" w:rsidP="00980BB2">
            <w:pPr>
              <w:suppressAutoHyphens w:val="0"/>
              <w:autoSpaceDE w:val="0"/>
              <w:autoSpaceDN w:val="0"/>
              <w:adjustRightInd w:val="0"/>
              <w:ind w:left="60" w:right="60"/>
              <w:jc w:val="center"/>
              <w:rPr>
                <w:rFonts w:eastAsia="Calibri"/>
                <w:color w:val="000000"/>
                <w:sz w:val="22"/>
                <w:szCs w:val="22"/>
                <w:lang w:val="id-ID" w:eastAsia="en-US"/>
              </w:rPr>
            </w:pPr>
            <w:r w:rsidRPr="00980BB2">
              <w:rPr>
                <w:rFonts w:eastAsia="Calibri"/>
                <w:color w:val="000000"/>
                <w:sz w:val="22"/>
                <w:szCs w:val="22"/>
                <w:lang w:val="id-ID" w:eastAsia="en-US"/>
              </w:rPr>
              <w:t>12.682</w:t>
            </w:r>
          </w:p>
        </w:tc>
        <w:tc>
          <w:tcPr>
            <w:tcW w:w="542" w:type="pct"/>
            <w:tcBorders>
              <w:top w:val="single" w:sz="4" w:space="0" w:color="auto"/>
              <w:bottom w:val="single" w:sz="4" w:space="0" w:color="auto"/>
            </w:tcBorders>
            <w:shd w:val="clear" w:color="auto" w:fill="FFFFFF"/>
            <w:vAlign w:val="center"/>
          </w:tcPr>
          <w:p w14:paraId="23BF4D55" w14:textId="77777777" w:rsidR="00980BB2" w:rsidRPr="00980BB2" w:rsidRDefault="00980BB2" w:rsidP="00980BB2">
            <w:pPr>
              <w:suppressAutoHyphens w:val="0"/>
              <w:autoSpaceDE w:val="0"/>
              <w:autoSpaceDN w:val="0"/>
              <w:adjustRightInd w:val="0"/>
              <w:ind w:left="60" w:right="60"/>
              <w:jc w:val="center"/>
              <w:rPr>
                <w:rFonts w:eastAsia="Calibri"/>
                <w:color w:val="000000"/>
                <w:sz w:val="22"/>
                <w:szCs w:val="22"/>
                <w:lang w:val="id-ID" w:eastAsia="en-US"/>
              </w:rPr>
            </w:pPr>
            <w:r w:rsidRPr="00980BB2">
              <w:rPr>
                <w:rFonts w:eastAsia="Calibri"/>
                <w:color w:val="000000"/>
                <w:sz w:val="22"/>
                <w:szCs w:val="22"/>
                <w:lang w:val="id-ID" w:eastAsia="en-US"/>
              </w:rPr>
              <w:t>2.767</w:t>
            </w:r>
          </w:p>
        </w:tc>
        <w:tc>
          <w:tcPr>
            <w:tcW w:w="542" w:type="pct"/>
            <w:tcBorders>
              <w:top w:val="single" w:sz="4" w:space="0" w:color="auto"/>
              <w:bottom w:val="single" w:sz="4" w:space="0" w:color="auto"/>
            </w:tcBorders>
            <w:shd w:val="clear" w:color="auto" w:fill="FFFFFF"/>
            <w:vAlign w:val="center"/>
          </w:tcPr>
          <w:p w14:paraId="7D0681DA" w14:textId="77777777" w:rsidR="00980BB2" w:rsidRPr="00980BB2" w:rsidRDefault="00980BB2" w:rsidP="00980BB2">
            <w:pPr>
              <w:suppressAutoHyphens w:val="0"/>
              <w:autoSpaceDE w:val="0"/>
              <w:autoSpaceDN w:val="0"/>
              <w:adjustRightInd w:val="0"/>
              <w:ind w:left="60" w:right="60"/>
              <w:jc w:val="center"/>
              <w:rPr>
                <w:rFonts w:eastAsia="Calibri"/>
                <w:color w:val="000000"/>
                <w:sz w:val="22"/>
                <w:szCs w:val="22"/>
                <w:lang w:val="id-ID" w:eastAsia="en-US"/>
              </w:rPr>
            </w:pPr>
            <w:r w:rsidRPr="00980BB2">
              <w:rPr>
                <w:rFonts w:eastAsia="Calibri"/>
                <w:color w:val="000000"/>
                <w:sz w:val="22"/>
                <w:szCs w:val="22"/>
                <w:lang w:val="id-ID" w:eastAsia="en-US"/>
              </w:rPr>
              <w:t>7.561</w:t>
            </w:r>
          </w:p>
        </w:tc>
        <w:tc>
          <w:tcPr>
            <w:tcW w:w="542" w:type="pct"/>
            <w:tcBorders>
              <w:top w:val="single" w:sz="4" w:space="0" w:color="auto"/>
              <w:bottom w:val="single" w:sz="4" w:space="0" w:color="auto"/>
            </w:tcBorders>
            <w:shd w:val="clear" w:color="auto" w:fill="FFFFFF"/>
            <w:vAlign w:val="center"/>
          </w:tcPr>
          <w:p w14:paraId="7DB08F70" w14:textId="77777777" w:rsidR="00980BB2" w:rsidRPr="00980BB2" w:rsidRDefault="00980BB2" w:rsidP="00980BB2">
            <w:pPr>
              <w:suppressAutoHyphens w:val="0"/>
              <w:autoSpaceDE w:val="0"/>
              <w:autoSpaceDN w:val="0"/>
              <w:adjustRightInd w:val="0"/>
              <w:ind w:left="60" w:right="60"/>
              <w:jc w:val="center"/>
              <w:rPr>
                <w:rFonts w:eastAsia="Calibri"/>
                <w:color w:val="000000"/>
                <w:sz w:val="22"/>
                <w:szCs w:val="22"/>
                <w:lang w:val="id-ID" w:eastAsia="en-US"/>
              </w:rPr>
            </w:pPr>
            <w:r w:rsidRPr="00980BB2">
              <w:rPr>
                <w:rFonts w:eastAsia="Calibri"/>
                <w:color w:val="000000"/>
                <w:sz w:val="22"/>
                <w:szCs w:val="22"/>
                <w:lang w:val="id-ID" w:eastAsia="en-US"/>
              </w:rPr>
              <w:t>19.106</w:t>
            </w:r>
          </w:p>
        </w:tc>
        <w:tc>
          <w:tcPr>
            <w:tcW w:w="378" w:type="pct"/>
            <w:tcBorders>
              <w:top w:val="single" w:sz="4" w:space="0" w:color="auto"/>
              <w:bottom w:val="single" w:sz="4" w:space="0" w:color="auto"/>
            </w:tcBorders>
            <w:shd w:val="clear" w:color="auto" w:fill="FFFFFF"/>
            <w:vAlign w:val="center"/>
          </w:tcPr>
          <w:p w14:paraId="797BB6A4" w14:textId="77777777" w:rsidR="00980BB2" w:rsidRPr="00980BB2" w:rsidRDefault="00980BB2" w:rsidP="00980BB2">
            <w:pPr>
              <w:suppressAutoHyphens w:val="0"/>
              <w:autoSpaceDE w:val="0"/>
              <w:autoSpaceDN w:val="0"/>
              <w:adjustRightInd w:val="0"/>
              <w:ind w:left="60" w:right="60"/>
              <w:jc w:val="center"/>
              <w:rPr>
                <w:rFonts w:eastAsia="Calibri"/>
                <w:color w:val="000000"/>
                <w:sz w:val="22"/>
                <w:szCs w:val="22"/>
                <w:lang w:val="id-ID" w:eastAsia="en-US"/>
              </w:rPr>
            </w:pPr>
            <w:r w:rsidRPr="00980BB2">
              <w:rPr>
                <w:rFonts w:eastAsia="Calibri"/>
                <w:color w:val="000000"/>
                <w:sz w:val="22"/>
                <w:szCs w:val="22"/>
                <w:lang w:val="id-ID" w:eastAsia="en-US"/>
              </w:rPr>
              <w:t>4.818</w:t>
            </w:r>
          </w:p>
        </w:tc>
        <w:tc>
          <w:tcPr>
            <w:tcW w:w="378" w:type="pct"/>
            <w:tcBorders>
              <w:top w:val="single" w:sz="4" w:space="0" w:color="auto"/>
              <w:bottom w:val="single" w:sz="4" w:space="0" w:color="auto"/>
            </w:tcBorders>
            <w:shd w:val="clear" w:color="auto" w:fill="FFFFFF"/>
            <w:vAlign w:val="center"/>
          </w:tcPr>
          <w:p w14:paraId="1A1AB4A1" w14:textId="77777777" w:rsidR="00980BB2" w:rsidRPr="00980BB2" w:rsidRDefault="00980BB2" w:rsidP="00980BB2">
            <w:pPr>
              <w:suppressAutoHyphens w:val="0"/>
              <w:autoSpaceDE w:val="0"/>
              <w:autoSpaceDN w:val="0"/>
              <w:adjustRightInd w:val="0"/>
              <w:ind w:left="60" w:right="60"/>
              <w:jc w:val="center"/>
              <w:rPr>
                <w:rFonts w:eastAsia="Calibri"/>
                <w:color w:val="000000"/>
                <w:sz w:val="22"/>
                <w:szCs w:val="22"/>
                <w:lang w:val="id-ID" w:eastAsia="en-US"/>
              </w:rPr>
            </w:pPr>
            <w:r w:rsidRPr="00980BB2">
              <w:rPr>
                <w:rFonts w:eastAsia="Calibri"/>
                <w:color w:val="000000"/>
                <w:sz w:val="22"/>
                <w:szCs w:val="22"/>
                <w:lang w:val="id-ID" w:eastAsia="en-US"/>
              </w:rPr>
              <w:t>20</w:t>
            </w:r>
          </w:p>
        </w:tc>
        <w:tc>
          <w:tcPr>
            <w:tcW w:w="519" w:type="pct"/>
            <w:tcBorders>
              <w:top w:val="single" w:sz="4" w:space="0" w:color="auto"/>
              <w:bottom w:val="single" w:sz="4" w:space="0" w:color="auto"/>
            </w:tcBorders>
            <w:shd w:val="clear" w:color="auto" w:fill="FFFFFF"/>
            <w:vAlign w:val="center"/>
          </w:tcPr>
          <w:p w14:paraId="0D90527E" w14:textId="77777777" w:rsidR="00980BB2" w:rsidRPr="00980BB2" w:rsidRDefault="00980BB2" w:rsidP="00980BB2">
            <w:pPr>
              <w:suppressAutoHyphens w:val="0"/>
              <w:autoSpaceDE w:val="0"/>
              <w:autoSpaceDN w:val="0"/>
              <w:adjustRightInd w:val="0"/>
              <w:ind w:left="60" w:right="60"/>
              <w:jc w:val="center"/>
              <w:rPr>
                <w:rFonts w:eastAsia="Calibri"/>
                <w:color w:val="000000"/>
                <w:sz w:val="22"/>
                <w:szCs w:val="22"/>
                <w:lang w:val="id-ID" w:eastAsia="en-US"/>
              </w:rPr>
            </w:pPr>
            <w:r w:rsidRPr="00980BB2">
              <w:rPr>
                <w:rFonts w:eastAsia="Calibri"/>
                <w:color w:val="000000"/>
                <w:sz w:val="22"/>
                <w:szCs w:val="22"/>
                <w:lang w:val="id-ID" w:eastAsia="en-US"/>
              </w:rPr>
              <w:t>.000</w:t>
            </w:r>
          </w:p>
        </w:tc>
      </w:tr>
    </w:tbl>
    <w:p w14:paraId="0709461B" w14:textId="77777777" w:rsidR="00980BB2" w:rsidRPr="00980BB2" w:rsidRDefault="00980BB2" w:rsidP="00980BB2">
      <w:pPr>
        <w:suppressAutoHyphens w:val="0"/>
        <w:spacing w:before="60" w:line="276" w:lineRule="auto"/>
        <w:ind w:firstLine="720"/>
        <w:jc w:val="both"/>
        <w:rPr>
          <w:rFonts w:eastAsia="Calibri"/>
          <w:lang w:eastAsia="en-US"/>
        </w:rPr>
      </w:pPr>
      <w:r w:rsidRPr="00980BB2">
        <w:rPr>
          <w:rFonts w:eastAsia="Calibri"/>
          <w:lang w:eastAsia="en-US"/>
        </w:rPr>
        <w:t xml:space="preserve">Based on Table 4, it is known that the sig (2-tailed) score is 0.000, meaning it is smaller than 0.05 (0.000 &lt; 0.05). Apart from that, the </w:t>
      </w:r>
      <w:proofErr w:type="spellStart"/>
      <w:r w:rsidRPr="00980BB2">
        <w:rPr>
          <w:rFonts w:eastAsia="Calibri"/>
          <w:lang w:eastAsia="en-US"/>
        </w:rPr>
        <w:t>T</w:t>
      </w:r>
      <w:r w:rsidRPr="00980BB2">
        <w:rPr>
          <w:rFonts w:eastAsia="Calibri"/>
          <w:vertAlign w:val="subscript"/>
          <w:lang w:eastAsia="en-US"/>
        </w:rPr>
        <w:t>count</w:t>
      </w:r>
      <w:proofErr w:type="spellEnd"/>
      <w:r w:rsidRPr="00980BB2">
        <w:rPr>
          <w:rFonts w:eastAsia="Calibri"/>
          <w:lang w:eastAsia="en-US"/>
        </w:rPr>
        <w:t xml:space="preserve"> score is 4.818 with a </w:t>
      </w:r>
      <w:proofErr w:type="spellStart"/>
      <w:r w:rsidRPr="00980BB2">
        <w:rPr>
          <w:rFonts w:eastAsia="Calibri"/>
          <w:lang w:eastAsia="en-US"/>
        </w:rPr>
        <w:t>df</w:t>
      </w:r>
      <w:proofErr w:type="spellEnd"/>
      <w:r w:rsidRPr="00980BB2">
        <w:rPr>
          <w:rFonts w:eastAsia="Calibri"/>
          <w:lang w:eastAsia="en-US"/>
        </w:rPr>
        <w:t xml:space="preserve"> of 20 and a significance level of 5%, with a </w:t>
      </w:r>
      <w:proofErr w:type="spellStart"/>
      <w:r w:rsidRPr="00980BB2">
        <w:rPr>
          <w:rFonts w:eastAsia="Calibri"/>
          <w:lang w:eastAsia="en-US"/>
        </w:rPr>
        <w:t>T</w:t>
      </w:r>
      <w:r w:rsidRPr="00980BB2">
        <w:rPr>
          <w:rFonts w:eastAsia="Calibri"/>
          <w:vertAlign w:val="subscript"/>
          <w:lang w:eastAsia="en-US"/>
        </w:rPr>
        <w:t>table</w:t>
      </w:r>
      <w:proofErr w:type="spellEnd"/>
      <w:r w:rsidRPr="00980BB2">
        <w:rPr>
          <w:rFonts w:eastAsia="Calibri"/>
          <w:lang w:eastAsia="en-US"/>
        </w:rPr>
        <w:t xml:space="preserve"> of 2.086. This means that the </w:t>
      </w:r>
      <w:proofErr w:type="spellStart"/>
      <w:r w:rsidRPr="00980BB2">
        <w:rPr>
          <w:rFonts w:eastAsia="Calibri"/>
          <w:lang w:eastAsia="en-US"/>
        </w:rPr>
        <w:t>T</w:t>
      </w:r>
      <w:r w:rsidRPr="00980BB2">
        <w:rPr>
          <w:rFonts w:eastAsia="Calibri"/>
          <w:vertAlign w:val="subscript"/>
          <w:lang w:eastAsia="en-US"/>
        </w:rPr>
        <w:t>count</w:t>
      </w:r>
      <w:proofErr w:type="spellEnd"/>
      <w:r w:rsidRPr="00980BB2">
        <w:rPr>
          <w:rFonts w:eastAsia="Calibri"/>
          <w:lang w:eastAsia="en-US"/>
        </w:rPr>
        <w:t xml:space="preserve"> score is greater than the </w:t>
      </w:r>
      <w:proofErr w:type="spellStart"/>
      <w:r w:rsidRPr="00980BB2">
        <w:rPr>
          <w:rFonts w:eastAsia="Calibri"/>
          <w:lang w:eastAsia="en-US"/>
        </w:rPr>
        <w:t>T</w:t>
      </w:r>
      <w:r w:rsidRPr="00980BB2">
        <w:rPr>
          <w:rFonts w:eastAsia="Calibri"/>
          <w:vertAlign w:val="subscript"/>
          <w:lang w:eastAsia="en-US"/>
        </w:rPr>
        <w:t>table</w:t>
      </w:r>
      <w:proofErr w:type="spellEnd"/>
      <w:r w:rsidRPr="00980BB2">
        <w:rPr>
          <w:rFonts w:eastAsia="Calibri"/>
          <w:lang w:eastAsia="en-US"/>
        </w:rPr>
        <w:t xml:space="preserve"> score (4.818 &gt; 2.086). Thus, it can be stated that the application of audio-visual learning media can improve students' </w:t>
      </w:r>
      <w:proofErr w:type="spellStart"/>
      <w:r w:rsidRPr="00980BB2">
        <w:rPr>
          <w:rFonts w:eastAsia="Calibri"/>
          <w:lang w:eastAsia="en-US"/>
        </w:rPr>
        <w:t>tajweed</w:t>
      </w:r>
      <w:proofErr w:type="spellEnd"/>
      <w:r w:rsidRPr="00980BB2">
        <w:rPr>
          <w:rFonts w:eastAsia="Calibri"/>
          <w:lang w:eastAsia="en-US"/>
        </w:rPr>
        <w:t xml:space="preserve"> learning outcomes.</w:t>
      </w:r>
    </w:p>
    <w:p w14:paraId="09D33348" w14:textId="77777777" w:rsidR="00980BB2" w:rsidRPr="00980BB2" w:rsidRDefault="00980BB2" w:rsidP="00980BB2">
      <w:pPr>
        <w:suppressAutoHyphens w:val="0"/>
        <w:spacing w:before="120"/>
        <w:jc w:val="both"/>
        <w:rPr>
          <w:rFonts w:eastAsia="Calibri"/>
          <w:b/>
          <w:lang w:val="id-ID" w:eastAsia="en-US"/>
        </w:rPr>
      </w:pPr>
      <w:r w:rsidRPr="00980BB2">
        <w:rPr>
          <w:rFonts w:eastAsia="Calibri"/>
          <w:b/>
          <w:lang w:val="id-ID" w:eastAsia="en-US"/>
        </w:rPr>
        <w:t>Discussion</w:t>
      </w:r>
    </w:p>
    <w:p w14:paraId="066310D9" w14:textId="77777777" w:rsidR="00980BB2" w:rsidRPr="00980BB2" w:rsidRDefault="00980BB2" w:rsidP="00980BB2">
      <w:pPr>
        <w:suppressAutoHyphens w:val="0"/>
        <w:spacing w:line="276" w:lineRule="auto"/>
        <w:ind w:firstLine="709"/>
        <w:jc w:val="both"/>
        <w:rPr>
          <w:rFonts w:eastAsia="Calibri"/>
          <w:lang w:eastAsia="en-US"/>
        </w:rPr>
      </w:pPr>
      <w:r w:rsidRPr="00980BB2">
        <w:rPr>
          <w:rFonts w:eastAsia="Calibri"/>
          <w:lang w:eastAsia="en-US"/>
        </w:rPr>
        <w:t xml:space="preserve">The innovation and creativity of Islamic religious education teachers by implementing audio-visual learning media has been proven to improve students' </w:t>
      </w:r>
      <w:proofErr w:type="spellStart"/>
      <w:r w:rsidRPr="00980BB2">
        <w:rPr>
          <w:rFonts w:eastAsia="Calibri"/>
          <w:lang w:eastAsia="en-US"/>
        </w:rPr>
        <w:t>tajweed</w:t>
      </w:r>
      <w:proofErr w:type="spellEnd"/>
      <w:r w:rsidRPr="00980BB2">
        <w:rPr>
          <w:rFonts w:eastAsia="Calibri"/>
          <w:lang w:eastAsia="en-US"/>
        </w:rPr>
        <w:t xml:space="preserve"> learning outcomes. These findings are in accordance with the research results of </w:t>
      </w:r>
      <w:r w:rsidRPr="00980BB2">
        <w:rPr>
          <w:rFonts w:eastAsia="Calibri"/>
          <w:bCs/>
          <w:lang w:val="id-ID" w:eastAsia="en-US"/>
        </w:rPr>
        <w:fldChar w:fldCharType="begin" w:fldLock="1"/>
      </w:r>
      <w:r w:rsidRPr="00980BB2">
        <w:rPr>
          <w:rFonts w:eastAsia="Calibri"/>
          <w:bCs/>
          <w:lang w:val="id-ID" w:eastAsia="en-US"/>
        </w:rPr>
        <w:instrText>ADDIN CSL_CITATION {"citationItems":[{"id":"ITEM-1","itemData":{"author":[{"dropping-particle":"","family":"Fauzan","given":"Ari Amri","non-dropping-particle":"","parse-names":false,"suffix":""},{"dropping-particle":"","family":"Dewi","given":"Damajanti Kusuma","non-dropping-particle":"","parse-names":false,"suffix":""},{"dropping-particle":"","family":"Si","given":"M","non-dropping-particle":"","parse-names":false,"suffix":""},{"dropping-particle":"","family":"Wetan","given":"Kampus Lidah","non-dropping-particle":"","parse-names":false,"suffix":""}],"container-title":"Jurnal Mahasiswa Teknologi Pendidikan","id":"ITEM-1","issue":"3","issued":{"date-parts":[["2013"]]},"page":"1-12","title":"Pengembangan Media Audio Pendidikan Agama Islam QS at-Thaariq dan Hukum Bacaan Tajwid untuk Meningkatkan Prestasi Belajar Siswa Kelas III MI Miftahul Ulum Surabaya","type":"article-journal","volume":"4"},"uris":["http://www.mendeley.com/documents/?uuid=9879f6be-5b7b-4116-aa9d-b9556fbeed0e"]}],"mendeley":{"formattedCitation":"(Fauzan et al. 2013)","manualFormatting":"Fauzan et al. (2013)","plainTextFormattedCitation":"(Fauzan et al. 2013)","previouslyFormattedCitation":"(Fauzan et al. 2013)"},"properties":{"noteIndex":0},"schema":"https://github.com/citation-style-language/schema/raw/master/csl-citation.json"}</w:instrText>
      </w:r>
      <w:r w:rsidRPr="00980BB2">
        <w:rPr>
          <w:rFonts w:eastAsia="Calibri"/>
          <w:bCs/>
          <w:lang w:val="id-ID" w:eastAsia="en-US"/>
        </w:rPr>
        <w:fldChar w:fldCharType="separate"/>
      </w:r>
      <w:r w:rsidRPr="00980BB2">
        <w:rPr>
          <w:rFonts w:eastAsia="Calibri"/>
          <w:bCs/>
          <w:noProof/>
          <w:lang w:val="id-ID" w:eastAsia="en-US"/>
        </w:rPr>
        <w:t>Fauzan et al. (2013)</w:t>
      </w:r>
      <w:r w:rsidRPr="00980BB2">
        <w:rPr>
          <w:rFonts w:eastAsia="Calibri"/>
          <w:bCs/>
          <w:lang w:val="id-ID" w:eastAsia="en-US"/>
        </w:rPr>
        <w:fldChar w:fldCharType="end"/>
      </w:r>
      <w:r w:rsidRPr="00980BB2">
        <w:rPr>
          <w:rFonts w:eastAsia="Calibri"/>
          <w:lang w:eastAsia="en-US"/>
        </w:rPr>
        <w:t xml:space="preserve">, who developed audio learning media with </w:t>
      </w:r>
      <w:proofErr w:type="spellStart"/>
      <w:r w:rsidRPr="00980BB2">
        <w:rPr>
          <w:rFonts w:eastAsia="Calibri"/>
          <w:lang w:eastAsia="en-US"/>
        </w:rPr>
        <w:t>tajweed</w:t>
      </w:r>
      <w:proofErr w:type="spellEnd"/>
      <w:r w:rsidRPr="00980BB2">
        <w:rPr>
          <w:rFonts w:eastAsia="Calibri"/>
          <w:lang w:eastAsia="en-US"/>
        </w:rPr>
        <w:t xml:space="preserve"> material to improve students' Islamic education learning outcomes. Also in accordance with research by </w:t>
      </w:r>
      <w:r w:rsidRPr="00980BB2">
        <w:rPr>
          <w:rFonts w:eastAsia="Calibri"/>
          <w:lang w:eastAsia="en-US"/>
        </w:rPr>
        <w:fldChar w:fldCharType="begin" w:fldLock="1"/>
      </w:r>
      <w:r w:rsidRPr="00980BB2">
        <w:rPr>
          <w:rFonts w:eastAsia="Calibri"/>
          <w:lang w:eastAsia="en-US"/>
        </w:rPr>
        <w:instrText>ADDIN CSL_CITATION {"citationItems":[{"id":"ITEM-1","itemData":{"author":[{"dropping-particle":"","family":"Barus","given":"Rahma Safitri","non-dropping-particle":"","parse-names":false,"suffix":""}],"id":"ITEM-1","issued":{"date-parts":[["2021"]]},"publisher":"Universitas Islam Negeri Sumatera Utara","publisher-place":"Tesis. Medan","title":"Pengaruh Penggunaan Media Audio Visual Dan Kemampuan Membaca Al-Qur’an Terhadap Hasil Belajar Tahfidz Di SMP Swasta Islam Terpadu Nurul ‘Azizi Medan","type":"article"},"uris":["http://www.mendeley.com/documents/?uuid=ba2d8a53-cbbf-4326-a03f-850113ef98d0"]}],"mendeley":{"formattedCitation":"(Barus 2021)","manualFormatting":"Barus (2021)","plainTextFormattedCitation":"(Barus 2021)","previouslyFormattedCitation":"(Barus 2021)"},"properties":{"noteIndex":0},"schema":"https://github.com/citation-style-language/schema/raw/master/csl-citation.json"}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Barus (2021)</w:t>
      </w:r>
      <w:r w:rsidRPr="00980BB2">
        <w:rPr>
          <w:rFonts w:eastAsia="Calibri"/>
          <w:lang w:eastAsia="en-US"/>
        </w:rPr>
        <w:fldChar w:fldCharType="end"/>
      </w:r>
      <w:r w:rsidRPr="00980BB2">
        <w:rPr>
          <w:rFonts w:eastAsia="Calibri"/>
          <w:lang w:eastAsia="en-US"/>
        </w:rPr>
        <w:t xml:space="preserve">, which found that the use of audio-visual media and the ability to read the Quran influenced students' </w:t>
      </w:r>
      <w:proofErr w:type="spellStart"/>
      <w:r w:rsidRPr="00980BB2">
        <w:rPr>
          <w:rFonts w:eastAsia="Calibri"/>
          <w:lang w:eastAsia="en-US"/>
        </w:rPr>
        <w:t>tahfidz</w:t>
      </w:r>
      <w:proofErr w:type="spellEnd"/>
      <w:r w:rsidRPr="00980BB2">
        <w:rPr>
          <w:rFonts w:eastAsia="Calibri"/>
          <w:lang w:eastAsia="en-US"/>
        </w:rPr>
        <w:t xml:space="preserve"> learning outcomes. Including research by </w:t>
      </w:r>
      <w:r w:rsidRPr="00980BB2">
        <w:rPr>
          <w:rFonts w:eastAsia="Calibri"/>
          <w:lang w:eastAsia="en-US"/>
        </w:rPr>
        <w:fldChar w:fldCharType="begin" w:fldLock="1"/>
      </w:r>
      <w:r w:rsidRPr="00980BB2">
        <w:rPr>
          <w:rFonts w:eastAsia="Calibri"/>
          <w:lang w:eastAsia="en-US"/>
        </w:rPr>
        <w:instrText>ADDIN CSL_CITATION {"citationItems":[{"id":"ITEM-1","itemData":{"DOI":"http://jurnal-unsultra.ac.id/index.php/seduj/article/view/422","ISSN":"2807-7474","author":[{"dropping-particle":"","family":"Yulisna","given":"Yulisna","non-dropping-particle":"","parse-names":false,"suffix":""},{"dropping-particle":"","family":"Ikhwansyah","given":"Hendri","non-dropping-particle":"","parse-names":false,"suffix":""},{"dropping-particle":"","family":"Asnah","given":"Nur","non-dropping-particle":"","parse-names":false,"suffix":""},{"dropping-particle":"","family":"Istimiranti","given":"Istimiranti","non-dropping-particle":"","parse-names":false,"suffix":""},{"dropping-particle":"","family":"Nursinpelna","given":"Nursinpelna","non-dropping-particle":"","parse-names":false,"suffix":""},{"dropping-particle":"","family":"Aprisal","given":"Aprisal","non-dropping-particle":"","parse-names":false,"suffix":""}],"container-title":"Sulawesi Tenggara Educational Journal","id":"ITEM-1","issue":"3","issued":{"date-parts":[["2022"]]},"page":"237-241","title":"Peningkatan Hasil Belajar Tajwid Peserta Didik melalui Media Audio Visual di SMA","type":"article-journal","volume":"2"},"uris":["http://www.mendeley.com/documents/?uuid=8c89296a-ae21-4951-884a-85573c2e2c3e"]}],"mendeley":{"formattedCitation":"(Yulisna et al. 2022)","manualFormatting":"Yulisna et al. (2022)","plainTextFormattedCitation":"(Yulisna et al. 2022)","previouslyFormattedCitation":"(Yulisna et al. 2022)"},"properties":{"noteIndex":0},"schema":"https://github.com/citation-style-language/schema/raw/master/csl-citation.json"}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Yulisna et al. (2022)</w:t>
      </w:r>
      <w:r w:rsidRPr="00980BB2">
        <w:rPr>
          <w:rFonts w:eastAsia="Calibri"/>
          <w:lang w:eastAsia="en-US"/>
        </w:rPr>
        <w:fldChar w:fldCharType="end"/>
      </w:r>
      <w:r w:rsidRPr="00980BB2">
        <w:rPr>
          <w:rFonts w:eastAsia="Calibri"/>
          <w:lang w:eastAsia="en-US"/>
        </w:rPr>
        <w:t xml:space="preserve">, which describes improving students' </w:t>
      </w:r>
      <w:proofErr w:type="spellStart"/>
      <w:r w:rsidRPr="00980BB2">
        <w:rPr>
          <w:rFonts w:eastAsia="Calibri"/>
          <w:lang w:eastAsia="en-US"/>
        </w:rPr>
        <w:t>tajweed</w:t>
      </w:r>
      <w:proofErr w:type="spellEnd"/>
      <w:r w:rsidRPr="00980BB2">
        <w:rPr>
          <w:rFonts w:eastAsia="Calibri"/>
          <w:lang w:eastAsia="en-US"/>
        </w:rPr>
        <w:t xml:space="preserve"> learning outcomes through audio-visual learning media in high school.</w:t>
      </w:r>
    </w:p>
    <w:p w14:paraId="218A1772" w14:textId="77777777" w:rsidR="00980BB2" w:rsidRPr="00980BB2" w:rsidRDefault="00980BB2" w:rsidP="00980BB2">
      <w:pPr>
        <w:suppressAutoHyphens w:val="0"/>
        <w:spacing w:line="276" w:lineRule="auto"/>
        <w:ind w:firstLine="709"/>
        <w:jc w:val="both"/>
        <w:rPr>
          <w:rFonts w:eastAsia="Calibri"/>
          <w:lang w:val="sv-SE" w:eastAsia="en-US"/>
        </w:rPr>
      </w:pPr>
      <w:r w:rsidRPr="00980BB2">
        <w:rPr>
          <w:rFonts w:eastAsia="Calibri"/>
          <w:lang w:val="sv-SE" w:eastAsia="en-US"/>
        </w:rPr>
        <w:t xml:space="preserve">The results of this research also strengthen </w:t>
      </w:r>
      <w:r w:rsidRPr="00980BB2">
        <w:rPr>
          <w:rFonts w:eastAsia="Calibri"/>
          <w:lang w:eastAsia="en-US"/>
        </w:rPr>
        <w:fldChar w:fldCharType="begin" w:fldLock="1"/>
      </w:r>
      <w:r w:rsidRPr="00980BB2">
        <w:rPr>
          <w:rFonts w:eastAsia="Calibri"/>
          <w:lang w:eastAsia="en-US"/>
        </w:rPr>
        <w:instrText>ADDIN CSL_CITATION {"citationItems":[{"id":"ITEM-1","itemData":{"author":[{"dropping-particle":"","family":"Sanjaya","given":"Wina","non-dropping-particle":"","parse-names":false,"suffix":""}],"id":"ITEM-1","issued":{"date-parts":[["2018"]]},"publisher":"Kencana Prenada Media Group","publisher-place":"Jakarta","title":"Strategi Pembelajaran Berorientasi Standar Proses Pendidikan","type":"book"},"uris":["http://www.mendeley.com/documents/?uuid=131223b6-69ac-43ff-bbf8-2228cabc0f3f"]}],"mendeley":{"formattedCitation":"(Sanjaya 2018)","manualFormatting":"Sanjaya's (2018)","plainTextFormattedCitation":"(Sanjaya 2018)","previouslyFormattedCitation":"(Sanjaya 2018)"},"properties":{"noteIndex":0},"schema":"https://github.com/citation-style-language/schema/raw/master/csl-citation.json"}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Sanjaya's (2018)</w:t>
      </w:r>
      <w:r w:rsidRPr="00980BB2">
        <w:rPr>
          <w:rFonts w:eastAsia="Calibri"/>
          <w:lang w:eastAsia="en-US"/>
        </w:rPr>
        <w:fldChar w:fldCharType="end"/>
      </w:r>
      <w:r w:rsidRPr="00980BB2">
        <w:rPr>
          <w:rFonts w:eastAsia="Calibri"/>
          <w:lang w:eastAsia="en-US"/>
        </w:rPr>
        <w:t xml:space="preserve"> </w:t>
      </w:r>
      <w:r w:rsidRPr="00980BB2">
        <w:rPr>
          <w:rFonts w:eastAsia="Calibri"/>
          <w:lang w:val="sv-SE" w:eastAsia="en-US"/>
        </w:rPr>
        <w:t xml:space="preserve">opinion regarding audio-visual media, that learning media functions as a tool in the learning process, in the form of a means that can provide audio and visual experiences to students to increase motivation and learning outcomes. The audio and visual experience felt by students in learning tajweed is an effort made by educators so that students can learn well </w:t>
      </w:r>
      <w:r w:rsidRPr="00980BB2">
        <w:rPr>
          <w:rFonts w:eastAsia="Calibri"/>
          <w:lang w:val="sv-SE" w:eastAsia="en-US"/>
        </w:rPr>
        <w:fldChar w:fldCharType="begin" w:fldLock="1"/>
      </w:r>
      <w:r w:rsidRPr="00980BB2">
        <w:rPr>
          <w:rFonts w:eastAsia="Calibri"/>
          <w:lang w:val="sv-SE" w:eastAsia="en-US"/>
        </w:rPr>
        <w:instrText>ADDIN CSL_CITATION {"citationItems":[{"id":"ITEM-1","itemData":{"author":[{"dropping-particle":"","family":"Arsyad","given":"Azhar","non-dropping-particle":"","parse-names":false,"suffix":""}],"edition":"15th","id":"ITEM-1","issued":{"date-parts":[["2017"]]},"publisher":"Rajawali Pers","publisher-place":"Jakarta","title":"Media Pembelajaran","type":"book"},"uris":["http://www.mendeley.com/documents/?uuid=f7648647-fc32-41ca-b104-009834ca1f5d"]}],"mendeley":{"formattedCitation":"(Arsyad 2017)","plainTextFormattedCitation":"(Arsyad 2017)","previouslyFormattedCitation":"(Arsyad 2017)"},"properties":{"noteIndex":0},"schema":"https://github.com/citation-style-language/schema/raw/master/csl-citation.json"}</w:instrText>
      </w:r>
      <w:r w:rsidRPr="00980BB2">
        <w:rPr>
          <w:rFonts w:eastAsia="Calibri"/>
          <w:lang w:val="sv-SE" w:eastAsia="en-US"/>
        </w:rPr>
        <w:fldChar w:fldCharType="separate"/>
      </w:r>
      <w:r w:rsidRPr="00980BB2">
        <w:rPr>
          <w:rFonts w:eastAsia="Calibri"/>
          <w:noProof/>
          <w:lang w:val="sv-SE" w:eastAsia="en-US"/>
        </w:rPr>
        <w:t>(Arsyad 2017)</w:t>
      </w:r>
      <w:r w:rsidRPr="00980BB2">
        <w:rPr>
          <w:rFonts w:eastAsia="Calibri"/>
          <w:lang w:val="sv-SE" w:eastAsia="en-US"/>
        </w:rPr>
        <w:fldChar w:fldCharType="end"/>
      </w:r>
      <w:r w:rsidRPr="00980BB2">
        <w:rPr>
          <w:rFonts w:eastAsia="Calibri"/>
          <w:lang w:val="sv-SE" w:eastAsia="en-US"/>
        </w:rPr>
        <w:t xml:space="preserve">. Students are said to learn if they can develop their knowledge and then build new knowledge so that they reach a true level of understanding </w:t>
      </w:r>
      <w:r w:rsidRPr="00980BB2">
        <w:rPr>
          <w:rFonts w:eastAsia="Calibri"/>
          <w:lang w:val="sv-SE" w:eastAsia="en-US"/>
        </w:rPr>
        <w:fldChar w:fldCharType="begin" w:fldLock="1"/>
      </w:r>
      <w:r w:rsidRPr="00980BB2">
        <w:rPr>
          <w:rFonts w:eastAsia="Calibri"/>
          <w:lang w:val="sv-SE" w:eastAsia="en-US"/>
        </w:rPr>
        <w:instrText>ADDIN CSL_CITATION {"citationItems":[{"id":"ITEM-1","itemData":{"author":[{"dropping-particle":"","family":"Nasution","given":"Sumaatmadja","non-dropping-particle":"","parse-names":false,"suffix":""}],"id":"ITEM-1","issued":{"date-parts":[["2011"]]},"publisher":"Bumi Aksara","publisher-place":"Jakarta","title":"Berbagai pendekatan dalam proses belajar dan mengajar","type":"book"},"uris":["http://www.mendeley.com/documents/?uuid=2a1b9d3d-d99c-4180-b94c-cd1b21acddbb"]}],"mendeley":{"formattedCitation":"(Nasution 2011)","plainTextFormattedCitation":"(Nasution 2011)","previouslyFormattedCitation":"(Nasution 2011)"},"properties":{"noteIndex":0},"schema":"https://github.com/citation-style-language/schema/raw/master/csl-citation.json"}</w:instrText>
      </w:r>
      <w:r w:rsidRPr="00980BB2">
        <w:rPr>
          <w:rFonts w:eastAsia="Calibri"/>
          <w:lang w:val="sv-SE" w:eastAsia="en-US"/>
        </w:rPr>
        <w:fldChar w:fldCharType="separate"/>
      </w:r>
      <w:r w:rsidRPr="00980BB2">
        <w:rPr>
          <w:rFonts w:eastAsia="Calibri"/>
          <w:noProof/>
          <w:lang w:val="sv-SE" w:eastAsia="en-US"/>
        </w:rPr>
        <w:t>(Nasution 2011)</w:t>
      </w:r>
      <w:r w:rsidRPr="00980BB2">
        <w:rPr>
          <w:rFonts w:eastAsia="Calibri"/>
          <w:lang w:val="sv-SE" w:eastAsia="en-US"/>
        </w:rPr>
        <w:fldChar w:fldCharType="end"/>
      </w:r>
      <w:r w:rsidRPr="00980BB2">
        <w:rPr>
          <w:rFonts w:eastAsia="Calibri"/>
          <w:lang w:val="sv-SE" w:eastAsia="en-US"/>
        </w:rPr>
        <w:t>. In this way, students not only know the tajweed material theoretically but are also able to apply it when reading the Quran.</w:t>
      </w:r>
    </w:p>
    <w:p w14:paraId="49B2363F" w14:textId="77777777" w:rsidR="00980BB2" w:rsidRPr="00980BB2" w:rsidRDefault="00980BB2" w:rsidP="00980BB2">
      <w:pPr>
        <w:suppressAutoHyphens w:val="0"/>
        <w:spacing w:line="276" w:lineRule="auto"/>
        <w:ind w:firstLine="709"/>
        <w:jc w:val="both"/>
        <w:rPr>
          <w:rFonts w:eastAsia="Calibri"/>
          <w:lang w:val="id-ID" w:eastAsia="en-US"/>
        </w:rPr>
      </w:pPr>
      <w:r w:rsidRPr="00980BB2">
        <w:rPr>
          <w:rFonts w:eastAsia="Calibri"/>
          <w:lang w:val="id-ID" w:eastAsia="en-US"/>
        </w:rPr>
        <w:t xml:space="preserve">The increase in tajweed learning outcomes through audio-visual media also shows the importance of using technology in learning to read the Quran </w:t>
      </w:r>
      <w:r w:rsidRPr="00980BB2">
        <w:rPr>
          <w:color w:val="000000"/>
          <w:lang w:val="id-ID" w:eastAsia="id-ID"/>
        </w:rPr>
        <w:fldChar w:fldCharType="begin" w:fldLock="1"/>
      </w:r>
      <w:r w:rsidRPr="00980BB2">
        <w:rPr>
          <w:color w:val="000000"/>
          <w:lang w:val="id-ID" w:eastAsia="id-ID"/>
        </w:rPr>
        <w:instrText>ADDIN CSL_CITATION {"citationItems":[{"id":"ITEM-1","itemData":{"DOI":"10.55849/jnhl.v1i2.101","ISSN":"2986-979X","author":[{"dropping-particle":"","family":"Yusnanto","given":"Tri","non-dropping-particle":"","parse-names":false,"suffix":""},{"dropping-particle":"","family":"Mustofa","given":"Khoirul","non-dropping-particle":"","parse-names":false,"suffix":""},{"dropping-particle":"","family":"Wahyudiono","given":"Sugeng","non-dropping-particle":"","parse-names":false,"suffix":""},{"dropping-particle":"","family":"Barroso","given":"Uwe","non-dropping-particle":"","parse-names":false,"suffix":""},{"dropping-particle":"","family":"Maja","given":"Gergely","non-dropping-particle":"","parse-names":false,"suffix":""}],"container-title":"Journal Neosantara Hybrid Learning","id":"ITEM-1","issue":"2","issued":{"date-parts":[["2023"]]},"page":"129-139","title":"Design and Build Learning Media to Read and Write Al-Qur'an Flash-Based","type":"article-journal","volume":"1"},"uris":["http://www.mendeley.com/documents/?uuid=8e6b84aa-ef66-4cf2-92a3-7a5639a4672a"]}],"mendeley":{"formattedCitation":"(Yusnanto et al. 2023)","plainTextFormattedCitation":"(Yusnanto et al. 2023)","previouslyFormattedCitation":"(Yusnanto et al. 2023)"},"properties":{"noteIndex":0},"schema":"https://github.com/citation-style-language/schema/raw/master/csl-citation.json"}</w:instrText>
      </w:r>
      <w:r w:rsidRPr="00980BB2">
        <w:rPr>
          <w:color w:val="000000"/>
          <w:lang w:val="id-ID" w:eastAsia="id-ID"/>
        </w:rPr>
        <w:fldChar w:fldCharType="separate"/>
      </w:r>
      <w:r w:rsidRPr="00980BB2">
        <w:rPr>
          <w:noProof/>
          <w:color w:val="000000"/>
          <w:lang w:val="id-ID" w:eastAsia="id-ID"/>
        </w:rPr>
        <w:t>(Yusnanto et al. 2023)</w:t>
      </w:r>
      <w:r w:rsidRPr="00980BB2">
        <w:rPr>
          <w:color w:val="000000"/>
          <w:lang w:val="id-ID" w:eastAsia="id-ID"/>
        </w:rPr>
        <w:fldChar w:fldCharType="end"/>
      </w:r>
      <w:r w:rsidRPr="00980BB2">
        <w:rPr>
          <w:rFonts w:eastAsia="Calibri"/>
          <w:lang w:val="id-ID" w:eastAsia="en-US"/>
        </w:rPr>
        <w:t xml:space="preserve">. Moreover, today's technological developments are not something new in society. New media is a general term to describe the process of delivering information via digital technology </w:t>
      </w:r>
      <w:r w:rsidRPr="00980BB2">
        <w:rPr>
          <w:rFonts w:eastAsia="Calibri"/>
          <w:shd w:val="clear" w:color="auto" w:fill="FFFFFF"/>
          <w:lang w:eastAsia="en-US"/>
        </w:rPr>
        <w:fldChar w:fldCharType="begin" w:fldLock="1"/>
      </w:r>
      <w:r w:rsidRPr="00980BB2">
        <w:rPr>
          <w:rFonts w:eastAsia="Calibri"/>
          <w:shd w:val="clear" w:color="auto" w:fill="FFFFFF"/>
          <w:lang w:eastAsia="en-US"/>
        </w:rPr>
        <w:instrText>ADDIN CSL_CITATION {"citationItems":[{"id":"ITEM-1","itemData":{"ISSN":"2013-9144","author":[{"dropping-particle":"","family":"Buckingham","given":"David","non-dropping-particle":"","parse-names":false,"suffix":""}],"container-title":"Digital Education Review","id":"ITEM-1","issue":"37","issued":{"date-parts":[["2020"]]},"page":"230-239","title":"Epilogue: Rethinking digital literacy: Media education in the age of digital capitalism","type":"article-journal"},"uris":["http://www.mendeley.com/documents/?uuid=c52d8024-9b08-4909-a614-3677642e62e0"]}],"mendeley":{"formattedCitation":"(Buckingham 2020)","plainTextFormattedCitation":"(Buckingham 2020)","previouslyFormattedCitation":"(Buckingham 2020)"},"properties":{"noteIndex":0},"schema":"https://github.com/citation-style-language/schema/raw/master/csl-citation.json"}</w:instrText>
      </w:r>
      <w:r w:rsidRPr="00980BB2">
        <w:rPr>
          <w:rFonts w:eastAsia="Calibri"/>
          <w:shd w:val="clear" w:color="auto" w:fill="FFFFFF"/>
          <w:lang w:eastAsia="en-US"/>
        </w:rPr>
        <w:fldChar w:fldCharType="separate"/>
      </w:r>
      <w:r w:rsidRPr="00980BB2">
        <w:rPr>
          <w:rFonts w:eastAsia="Calibri"/>
          <w:noProof/>
          <w:shd w:val="clear" w:color="auto" w:fill="FFFFFF"/>
          <w:lang w:eastAsia="en-US"/>
        </w:rPr>
        <w:t>(Buckingham 2020)</w:t>
      </w:r>
      <w:r w:rsidRPr="00980BB2">
        <w:rPr>
          <w:rFonts w:eastAsia="Calibri"/>
          <w:shd w:val="clear" w:color="auto" w:fill="FFFFFF"/>
          <w:lang w:eastAsia="en-US"/>
        </w:rPr>
        <w:fldChar w:fldCharType="end"/>
      </w:r>
      <w:r w:rsidRPr="00980BB2">
        <w:rPr>
          <w:rFonts w:eastAsia="Calibri"/>
          <w:lang w:val="id-ID" w:eastAsia="en-US"/>
        </w:rPr>
        <w:t xml:space="preserve">. If previously information could only be obtained through newspapers or magazines, now this information can be distributed and accessed via communication devices connected to the internet. The current presence of new media is an instrument that can be used as a learning medium </w:t>
      </w:r>
      <w:r w:rsidRPr="00980BB2">
        <w:rPr>
          <w:rFonts w:eastAsia="Calibri"/>
          <w:lang w:eastAsia="en-US"/>
        </w:rPr>
        <w:fldChar w:fldCharType="begin" w:fldLock="1"/>
      </w:r>
      <w:r w:rsidRPr="00980BB2">
        <w:rPr>
          <w:rFonts w:eastAsia="Calibri"/>
          <w:lang w:eastAsia="en-US"/>
        </w:rPr>
        <w:instrText>ADDIN CSL_CITATION {"citationItems":[{"id":"ITEM-1","itemData":{"DOI":"10.3390/info11050276","ISSN":"2078-2489","author":[{"dropping-particle":"","family":"Gómez-Galán","given":"José","non-dropping-particle":"","parse-names":false,"suffix":""}],"container-title":"Information","id":"ITEM-1","issue":"5","issued":{"date-parts":[["2020"]]},"page":"276","publisher":"MDPI","title":"Media education in the ICT era: Theoretical structure for innovative teaching styles","type":"article-journal","volume":"11"},"uris":["http://www.mendeley.com/documents/?uuid=606e85b9-c56e-4985-bda4-ca92cccda397"]}],"mendeley":{"formattedCitation":"(Gómez-Galán 2020)","manualFormatting":"(Gómez-Galán 2020;","plainTextFormattedCitation":"(Gómez-Galán 2020)","previouslyFormattedCitation":"(Gómez-Galán 2020)"},"properties":{"noteIndex":0},"schema":"https://github.com/citation-style-language/schema/raw/master/csl-citation.json"}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(Gómez-Galán 2020;</w:t>
      </w:r>
      <w:r w:rsidRPr="00980BB2">
        <w:rPr>
          <w:rFonts w:eastAsia="Calibri"/>
          <w:lang w:eastAsia="en-US"/>
        </w:rPr>
        <w:fldChar w:fldCharType="end"/>
      </w:r>
      <w:r w:rsidRPr="00980BB2">
        <w:rPr>
          <w:rFonts w:eastAsia="Calibri"/>
          <w:lang w:eastAsia="en-US"/>
        </w:rPr>
        <w:t xml:space="preserve"> </w:t>
      </w:r>
      <w:r w:rsidRPr="00980BB2">
        <w:rPr>
          <w:rFonts w:eastAsia="Calibri"/>
          <w:lang w:eastAsia="en-US"/>
        </w:rPr>
        <w:fldChar w:fldCharType="begin" w:fldLock="1"/>
      </w:r>
      <w:r w:rsidRPr="00980BB2">
        <w:rPr>
          <w:rFonts w:eastAsia="Calibri"/>
          <w:lang w:eastAsia="en-US"/>
        </w:rPr>
        <w:instrText>ADDIN CSL_CITATION {"citationItems":[{"id":"ITEM-1","itemData":{"DOI":"10.11114/ijce.v3i1.4769","author":[{"dropping-particle":"","family":"Zhang","given":"Lei","non-dropping-particle":"","parse-names":false,"suffix":""},{"dropping-particle":"","family":"Zhang","given":"Hui","non-dropping-particle":"","parse-names":false,"suffix":""},{"dropping-particle":"","family":"Wang","given":"Kai","non-dropping-particle":"","parse-names":false,"suffix":""}],"container-title":"International Journal of Contemporary Education","id":"ITEM-1","issue":"1","issued":{"date-parts":[["2020"]]},"page":"55-64","publisher":"Redfame publishing","title":"Media literacy education and curriculum integration: A literature review","type":"article-journal","volume":"3"},"uris":["http://www.mendeley.com/documents/?uuid=f0b46e88-d425-40c6-876b-a53f45eb85a2"]}],"mendeley":{"formattedCitation":"(Zhang, Zhang, and Wang 2020)","manualFormatting":"Zhang, Zhang, and Wang 2020)","plainTextFormattedCitation":"(Zhang, Zhang, and Wang 2020)","previouslyFormattedCitation":"(Zhang, Zhang, and Wang 2020)"},"properties":{"noteIndex":0},"schema":"https://github.com/citation-style-language/schema/raw/master/csl-citation.json"}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Zhang, Zhang, and Wang 2020)</w:t>
      </w:r>
      <w:r w:rsidRPr="00980BB2">
        <w:rPr>
          <w:rFonts w:eastAsia="Calibri"/>
          <w:lang w:eastAsia="en-US"/>
        </w:rPr>
        <w:fldChar w:fldCharType="end"/>
      </w:r>
      <w:r w:rsidRPr="00980BB2">
        <w:rPr>
          <w:rFonts w:eastAsia="Calibri"/>
          <w:lang w:val="id-ID" w:eastAsia="en-US"/>
        </w:rPr>
        <w:t xml:space="preserve">. Teachers, especially Islamic boarding school teachers, are challenged to be able to transform their learning systems to create media that is appropriate to current developments </w:t>
      </w:r>
      <w:r w:rsidRPr="00980BB2">
        <w:rPr>
          <w:rFonts w:eastAsia="Calibri"/>
          <w:lang w:eastAsia="en-US"/>
        </w:rPr>
        <w:fldChar w:fldCharType="begin" w:fldLock="1"/>
      </w:r>
      <w:r w:rsidRPr="00980BB2">
        <w:rPr>
          <w:rFonts w:eastAsia="Calibri"/>
          <w:lang w:eastAsia="en-US"/>
        </w:rPr>
        <w:instrText>ADDIN CSL_CITATION {"citationItems":[{"id":"ITEM-1","itemData":{"DOI":"10.37459/tafhim.v11i2.3753","ISSN":"2579-7182","author":[{"dropping-particle":"","family":"Safradji","given":"Safradji","non-dropping-particle":"","parse-names":false,"suffix":""}],"container-title":"Tafhim Al-'Ilmi","id":"ITEM-1","issue":"2","issued":{"date-parts":[["2020"]]},"page":"241-264","title":"Multi sistem pendidikan pesantren dan tantangan masa depan","type":"article-journal","volume":"11"},"uris":["http://www.mendeley.com/documents/?uuid=28b0533a-0f7e-4fbd-9b6b-2b421a0fe623"]}],"mendeley":{"formattedCitation":"(Safradji 2020)","plainTextFormattedCitation":"(Safradji 2020)"},"properties":{"noteIndex":0},"schema":"https://github.com/citation-style-language/schema/raw/master/csl-citation.json"}</w:instrText>
      </w:r>
      <w:r w:rsidRPr="00980BB2">
        <w:rPr>
          <w:rFonts w:eastAsia="Calibri"/>
          <w:lang w:eastAsia="en-US"/>
        </w:rPr>
        <w:fldChar w:fldCharType="separate"/>
      </w:r>
      <w:r w:rsidRPr="00980BB2">
        <w:rPr>
          <w:rFonts w:eastAsia="Calibri"/>
          <w:noProof/>
          <w:lang w:eastAsia="en-US"/>
        </w:rPr>
        <w:t>(Safradji 2020)</w:t>
      </w:r>
      <w:r w:rsidRPr="00980BB2">
        <w:rPr>
          <w:rFonts w:eastAsia="Calibri"/>
          <w:lang w:eastAsia="en-US"/>
        </w:rPr>
        <w:fldChar w:fldCharType="end"/>
      </w:r>
      <w:r w:rsidRPr="00980BB2">
        <w:rPr>
          <w:rFonts w:eastAsia="Calibri"/>
          <w:lang w:val="id-ID" w:eastAsia="en-US"/>
        </w:rPr>
        <w:t>.</w:t>
      </w:r>
    </w:p>
    <w:p w14:paraId="54D7F3D0" w14:textId="77777777" w:rsidR="00980BB2" w:rsidRPr="00980BB2" w:rsidRDefault="00980BB2" w:rsidP="00980BB2">
      <w:pPr>
        <w:suppressAutoHyphens w:val="0"/>
        <w:spacing w:line="276" w:lineRule="auto"/>
        <w:ind w:firstLine="709"/>
        <w:jc w:val="both"/>
        <w:rPr>
          <w:rFonts w:eastAsia="Calibri"/>
          <w:lang w:val="id-ID" w:eastAsia="en-US"/>
        </w:rPr>
      </w:pPr>
    </w:p>
    <w:p w14:paraId="7BB16619" w14:textId="77777777" w:rsidR="00980BB2" w:rsidRPr="00980BB2" w:rsidRDefault="00980BB2" w:rsidP="00980BB2">
      <w:pPr>
        <w:tabs>
          <w:tab w:val="left" w:pos="340"/>
        </w:tabs>
        <w:spacing w:line="276" w:lineRule="auto"/>
        <w:rPr>
          <w:rFonts w:eastAsia="Calibri"/>
          <w:iCs/>
          <w:lang w:val="id-ID" w:eastAsia="en-US"/>
        </w:rPr>
      </w:pPr>
      <w:r w:rsidRPr="00980BB2">
        <w:rPr>
          <w:b/>
          <w:caps/>
        </w:rPr>
        <w:lastRenderedPageBreak/>
        <w:t>CONCLUSION</w:t>
      </w:r>
    </w:p>
    <w:p w14:paraId="5FA6D0BB" w14:textId="7C27E5F2" w:rsidR="00980BB2" w:rsidRPr="00980BB2" w:rsidRDefault="00980BB2" w:rsidP="00980BB2">
      <w:pPr>
        <w:suppressAutoHyphens w:val="0"/>
        <w:spacing w:line="276" w:lineRule="auto"/>
        <w:ind w:firstLine="720"/>
        <w:jc w:val="both"/>
        <w:rPr>
          <w:rFonts w:eastAsia="Calibri"/>
          <w:bCs/>
          <w:lang w:val="id-ID" w:eastAsia="en-US"/>
        </w:rPr>
      </w:pPr>
      <w:r w:rsidRPr="00980BB2">
        <w:rPr>
          <w:rFonts w:eastAsia="Calibri"/>
          <w:bCs/>
          <w:lang w:val="id-ID" w:eastAsia="en-US"/>
        </w:rPr>
        <w:t>The tajweed learning outcomes of the experimental class and control class students both increased. However, the learning outcomes of the experimental class experienced a higher increase compared to the control class. The application of audio-visual learning media has a positive effect on the students’ tajweed learning outcomes at Salafiyah Marhala Ulya, Tahfidzul Qur</w:t>
      </w:r>
      <w:r w:rsidR="00626DF2">
        <w:rPr>
          <w:rFonts w:eastAsia="Calibri"/>
          <w:bCs/>
          <w:lang w:val="id-ID" w:eastAsia="en-US"/>
        </w:rPr>
        <w:t>’</w:t>
      </w:r>
      <w:r w:rsidRPr="00980BB2">
        <w:rPr>
          <w:rFonts w:eastAsia="Calibri"/>
          <w:bCs/>
          <w:lang w:val="id-ID" w:eastAsia="en-US"/>
        </w:rPr>
        <w:t>an As</w:t>
      </w:r>
      <w:r w:rsidR="00626DF2">
        <w:rPr>
          <w:rFonts w:eastAsia="Calibri"/>
          <w:bCs/>
          <w:lang w:val="id-ID" w:eastAsia="en-US"/>
        </w:rPr>
        <w:t>’</w:t>
      </w:r>
      <w:r w:rsidRPr="00980BB2">
        <w:rPr>
          <w:rFonts w:eastAsia="Calibri"/>
          <w:bCs/>
          <w:lang w:val="id-ID" w:eastAsia="en-US"/>
        </w:rPr>
        <w:t>adiyah Wonomulyo Islamic Boarding School, Polewali Mandar Regency. This conclusion has implications for the need for Islamic religious education teachers to develop their professional competence in using increasingly sophisticated technology-based learning tools and media. This will also familiarize Islamic boarding school students with following a more modern learning system.</w:t>
      </w:r>
    </w:p>
    <w:p w14:paraId="1DA27552" w14:textId="77777777" w:rsidR="00980BB2" w:rsidRPr="00980BB2" w:rsidRDefault="00980BB2" w:rsidP="00980BB2">
      <w:pPr>
        <w:suppressAutoHyphens w:val="0"/>
        <w:spacing w:line="276" w:lineRule="auto"/>
        <w:ind w:firstLine="720"/>
        <w:jc w:val="both"/>
        <w:rPr>
          <w:rFonts w:eastAsia="Calibri"/>
          <w:lang w:val="id-ID" w:eastAsia="en-US"/>
        </w:rPr>
      </w:pPr>
      <w:r w:rsidRPr="00980BB2">
        <w:rPr>
          <w:rFonts w:eastAsia="Calibri"/>
          <w:bCs/>
          <w:lang w:val="id-ID" w:eastAsia="en-US"/>
        </w:rPr>
        <w:t>The limitation of this research is that there is no description of the process of preparing audio-visual media for tajweed material by Islamic education teachers. Therefore, the obstacles and solutions in the process of creating audio-visual learning media have not been studied comprehensively. Further relevant researchers need to examine the form of development of audio-visual learning media for tajweed material and then test the level of practicality and effectiveness of the learning media.</w:t>
      </w:r>
    </w:p>
    <w:p w14:paraId="7C7B8707" w14:textId="77777777" w:rsidR="00980BB2" w:rsidRPr="00980BB2" w:rsidRDefault="00980BB2" w:rsidP="00980BB2">
      <w:pPr>
        <w:suppressAutoHyphens w:val="0"/>
        <w:jc w:val="both"/>
        <w:rPr>
          <w:rFonts w:eastAsia="Calibri"/>
          <w:lang w:val="id-ID" w:eastAsia="en-US"/>
        </w:rPr>
      </w:pPr>
    </w:p>
    <w:p w14:paraId="29F8193F" w14:textId="77777777" w:rsidR="00980BB2" w:rsidRPr="00980BB2" w:rsidRDefault="00980BB2" w:rsidP="00980BB2">
      <w:pPr>
        <w:tabs>
          <w:tab w:val="left" w:pos="340"/>
        </w:tabs>
        <w:spacing w:line="276" w:lineRule="auto"/>
        <w:rPr>
          <w:b/>
          <w:caps/>
          <w:sz w:val="20"/>
          <w:szCs w:val="20"/>
        </w:rPr>
      </w:pPr>
      <w:r w:rsidRPr="00980BB2">
        <w:rPr>
          <w:b/>
          <w:caps/>
          <w:sz w:val="20"/>
          <w:szCs w:val="20"/>
        </w:rPr>
        <w:t>Author’s declaration</w:t>
      </w:r>
    </w:p>
    <w:p w14:paraId="2DED498C" w14:textId="77777777" w:rsidR="00980BB2" w:rsidRPr="00980BB2" w:rsidRDefault="00980BB2" w:rsidP="00980BB2">
      <w:pPr>
        <w:autoSpaceDE w:val="0"/>
        <w:autoSpaceDN w:val="0"/>
        <w:adjustRightInd w:val="0"/>
        <w:spacing w:before="120" w:line="276" w:lineRule="auto"/>
        <w:jc w:val="both"/>
        <w:rPr>
          <w:b/>
          <w:bCs/>
          <w:sz w:val="20"/>
          <w:szCs w:val="20"/>
          <w:lang w:val="sv-SE"/>
        </w:rPr>
      </w:pPr>
      <w:r w:rsidRPr="00980BB2">
        <w:rPr>
          <w:b/>
          <w:bCs/>
          <w:sz w:val="20"/>
          <w:szCs w:val="20"/>
          <w:lang w:val="sv-SE"/>
        </w:rPr>
        <w:t>Funding</w:t>
      </w:r>
    </w:p>
    <w:p w14:paraId="032B5A87" w14:textId="77777777" w:rsidR="00980BB2" w:rsidRPr="00980BB2" w:rsidRDefault="00980BB2" w:rsidP="00980BB2">
      <w:pPr>
        <w:autoSpaceDE w:val="0"/>
        <w:autoSpaceDN w:val="0"/>
        <w:adjustRightInd w:val="0"/>
        <w:spacing w:line="276" w:lineRule="auto"/>
        <w:ind w:firstLine="720"/>
        <w:jc w:val="both"/>
        <w:rPr>
          <w:sz w:val="20"/>
          <w:szCs w:val="20"/>
          <w:lang w:val="sv-SE"/>
        </w:rPr>
      </w:pPr>
      <w:r w:rsidRPr="00980BB2">
        <w:rPr>
          <w:sz w:val="20"/>
          <w:szCs w:val="20"/>
          <w:lang w:val="sv-SE"/>
        </w:rPr>
        <w:t xml:space="preserve">This </w:t>
      </w:r>
      <w:r w:rsidRPr="00980BB2">
        <w:rPr>
          <w:sz w:val="20"/>
          <w:szCs w:val="20"/>
        </w:rPr>
        <w:t>research</w:t>
      </w:r>
      <w:r w:rsidRPr="00980BB2">
        <w:rPr>
          <w:sz w:val="20"/>
          <w:szCs w:val="20"/>
          <w:lang w:val="sv-SE"/>
        </w:rPr>
        <w:t xml:space="preserve"> was not funded by an institution or funded independently by the author.</w:t>
      </w:r>
    </w:p>
    <w:p w14:paraId="313C9847" w14:textId="77777777" w:rsidR="00980BB2" w:rsidRPr="00980BB2" w:rsidRDefault="00980BB2" w:rsidP="00980BB2">
      <w:pPr>
        <w:autoSpaceDE w:val="0"/>
        <w:autoSpaceDN w:val="0"/>
        <w:adjustRightInd w:val="0"/>
        <w:spacing w:before="120" w:line="276" w:lineRule="auto"/>
        <w:jc w:val="both"/>
        <w:rPr>
          <w:b/>
          <w:bCs/>
          <w:sz w:val="20"/>
          <w:szCs w:val="20"/>
          <w:lang w:val="sv-SE"/>
        </w:rPr>
      </w:pPr>
      <w:r w:rsidRPr="00980BB2">
        <w:rPr>
          <w:b/>
          <w:bCs/>
          <w:sz w:val="20"/>
          <w:szCs w:val="20"/>
          <w:lang w:val="sv-SE"/>
        </w:rPr>
        <w:t>Authors’ Contribution</w:t>
      </w:r>
    </w:p>
    <w:p w14:paraId="7CAAAE37" w14:textId="77777777" w:rsidR="00980BB2" w:rsidRPr="00980BB2" w:rsidRDefault="00980BB2" w:rsidP="00980BB2">
      <w:pPr>
        <w:autoSpaceDE w:val="0"/>
        <w:autoSpaceDN w:val="0"/>
        <w:adjustRightInd w:val="0"/>
        <w:spacing w:line="276" w:lineRule="auto"/>
        <w:ind w:firstLine="720"/>
        <w:jc w:val="both"/>
        <w:rPr>
          <w:sz w:val="20"/>
          <w:szCs w:val="20"/>
          <w:lang w:val="sv-SE"/>
        </w:rPr>
      </w:pPr>
      <w:r w:rsidRPr="00980BB2">
        <w:rPr>
          <w:sz w:val="20"/>
          <w:szCs w:val="20"/>
        </w:rPr>
        <w:t xml:space="preserve">Abdul Hamid, as the corresponding author, collected data and prepared research reports. Muhammad Khairuddin Lim Abdullah, as an external examiner for this research, provided technical, content, and method recommendations in writing research results reports. </w:t>
      </w:r>
      <w:proofErr w:type="spellStart"/>
      <w:r w:rsidRPr="00980BB2">
        <w:rPr>
          <w:sz w:val="20"/>
          <w:szCs w:val="20"/>
        </w:rPr>
        <w:t>Sitti</w:t>
      </w:r>
      <w:proofErr w:type="spellEnd"/>
      <w:r w:rsidRPr="00980BB2">
        <w:rPr>
          <w:sz w:val="20"/>
          <w:szCs w:val="20"/>
        </w:rPr>
        <w:t xml:space="preserve"> Jamilah Amin, Abdul Halik, and </w:t>
      </w:r>
      <w:proofErr w:type="spellStart"/>
      <w:r w:rsidRPr="00980BB2">
        <w:rPr>
          <w:sz w:val="20"/>
          <w:szCs w:val="20"/>
        </w:rPr>
        <w:t>Ahdar</w:t>
      </w:r>
      <w:proofErr w:type="spellEnd"/>
      <w:r w:rsidRPr="00980BB2">
        <w:rPr>
          <w:sz w:val="20"/>
          <w:szCs w:val="20"/>
        </w:rPr>
        <w:t>, as supervisors for writing this research report, both provided suggestions so that the research report meets scientific requirements and this article complies with scientific journal writing standards.</w:t>
      </w:r>
    </w:p>
    <w:p w14:paraId="3AEA5D55" w14:textId="77777777" w:rsidR="00980BB2" w:rsidRPr="00980BB2" w:rsidRDefault="00980BB2" w:rsidP="00980BB2">
      <w:pPr>
        <w:autoSpaceDE w:val="0"/>
        <w:autoSpaceDN w:val="0"/>
        <w:adjustRightInd w:val="0"/>
        <w:spacing w:before="120" w:line="276" w:lineRule="auto"/>
        <w:jc w:val="both"/>
        <w:rPr>
          <w:b/>
          <w:bCs/>
          <w:sz w:val="20"/>
          <w:szCs w:val="20"/>
          <w:lang w:val="sv-SE"/>
        </w:rPr>
      </w:pPr>
      <w:r w:rsidRPr="00980BB2">
        <w:rPr>
          <w:b/>
          <w:bCs/>
          <w:sz w:val="20"/>
          <w:szCs w:val="20"/>
          <w:lang w:val="sv-SE"/>
        </w:rPr>
        <w:t>Disclosure Statement</w:t>
      </w:r>
    </w:p>
    <w:p w14:paraId="4C0B4857" w14:textId="77777777" w:rsidR="00980BB2" w:rsidRPr="00980BB2" w:rsidRDefault="00980BB2" w:rsidP="00980BB2">
      <w:pPr>
        <w:autoSpaceDE w:val="0"/>
        <w:autoSpaceDN w:val="0"/>
        <w:adjustRightInd w:val="0"/>
        <w:spacing w:line="276" w:lineRule="auto"/>
        <w:ind w:firstLine="720"/>
        <w:jc w:val="both"/>
        <w:rPr>
          <w:sz w:val="20"/>
          <w:szCs w:val="20"/>
          <w:lang w:val="sv-SE"/>
        </w:rPr>
      </w:pPr>
      <w:r w:rsidRPr="00980BB2">
        <w:rPr>
          <w:sz w:val="20"/>
          <w:szCs w:val="20"/>
        </w:rPr>
        <w:t>The authors</w:t>
      </w:r>
      <w:r w:rsidRPr="00980BB2">
        <w:rPr>
          <w:sz w:val="20"/>
          <w:szCs w:val="20"/>
          <w:lang w:val="sv-SE"/>
        </w:rPr>
        <w:t xml:space="preserve"> declares that there is no conflict of interest in this research.</w:t>
      </w:r>
    </w:p>
    <w:p w14:paraId="67E30FDD" w14:textId="77777777" w:rsidR="00980BB2" w:rsidRPr="00980BB2" w:rsidRDefault="00980BB2" w:rsidP="00980BB2">
      <w:pPr>
        <w:autoSpaceDE w:val="0"/>
        <w:autoSpaceDN w:val="0"/>
        <w:adjustRightInd w:val="0"/>
        <w:spacing w:before="120" w:line="276" w:lineRule="auto"/>
        <w:jc w:val="both"/>
        <w:rPr>
          <w:b/>
          <w:bCs/>
          <w:sz w:val="20"/>
          <w:szCs w:val="20"/>
          <w:lang w:val="sv-SE"/>
        </w:rPr>
      </w:pPr>
      <w:r w:rsidRPr="00980BB2">
        <w:rPr>
          <w:b/>
          <w:bCs/>
          <w:sz w:val="20"/>
          <w:szCs w:val="20"/>
          <w:lang w:val="sv-SE"/>
        </w:rPr>
        <w:t>Data Availability Statement</w:t>
      </w:r>
    </w:p>
    <w:p w14:paraId="0CE47E76" w14:textId="77777777" w:rsidR="00980BB2" w:rsidRPr="00980BB2" w:rsidRDefault="00980BB2" w:rsidP="00980BB2">
      <w:pPr>
        <w:autoSpaceDE w:val="0"/>
        <w:autoSpaceDN w:val="0"/>
        <w:adjustRightInd w:val="0"/>
        <w:spacing w:line="276" w:lineRule="auto"/>
        <w:ind w:firstLine="720"/>
        <w:jc w:val="both"/>
        <w:rPr>
          <w:sz w:val="20"/>
          <w:szCs w:val="20"/>
          <w:lang w:val="sv-SE"/>
        </w:rPr>
      </w:pPr>
      <w:r w:rsidRPr="00980BB2">
        <w:rPr>
          <w:sz w:val="20"/>
          <w:szCs w:val="20"/>
          <w:lang w:val="sv-SE"/>
        </w:rPr>
        <w:t xml:space="preserve">The </w:t>
      </w:r>
      <w:r w:rsidRPr="00980BB2">
        <w:rPr>
          <w:sz w:val="20"/>
          <w:szCs w:val="20"/>
        </w:rPr>
        <w:t>data</w:t>
      </w:r>
      <w:r w:rsidRPr="00980BB2">
        <w:rPr>
          <w:sz w:val="20"/>
          <w:szCs w:val="20"/>
          <w:lang w:val="sv-SE"/>
        </w:rPr>
        <w:t xml:space="preserve"> that support the results of this study are available from the corresponding author.</w:t>
      </w:r>
    </w:p>
    <w:p w14:paraId="34D41AEF" w14:textId="77777777" w:rsidR="00980BB2" w:rsidRPr="00980BB2" w:rsidRDefault="00980BB2" w:rsidP="00980BB2">
      <w:pPr>
        <w:autoSpaceDE w:val="0"/>
        <w:autoSpaceDN w:val="0"/>
        <w:adjustRightInd w:val="0"/>
        <w:spacing w:before="120" w:line="276" w:lineRule="auto"/>
        <w:jc w:val="both"/>
        <w:rPr>
          <w:b/>
          <w:bCs/>
          <w:sz w:val="20"/>
          <w:szCs w:val="20"/>
          <w:lang w:val="sv-SE"/>
        </w:rPr>
      </w:pPr>
      <w:r w:rsidRPr="00980BB2">
        <w:rPr>
          <w:b/>
          <w:bCs/>
          <w:sz w:val="20"/>
          <w:szCs w:val="20"/>
          <w:lang w:val="sv-SE"/>
        </w:rPr>
        <w:t>Acknowledgements</w:t>
      </w:r>
    </w:p>
    <w:p w14:paraId="481A00CA" w14:textId="6317C19B" w:rsidR="00980BB2" w:rsidRPr="00980BB2" w:rsidRDefault="00980BB2" w:rsidP="00980BB2">
      <w:pPr>
        <w:autoSpaceDE w:val="0"/>
        <w:autoSpaceDN w:val="0"/>
        <w:adjustRightInd w:val="0"/>
        <w:spacing w:line="276" w:lineRule="auto"/>
        <w:ind w:firstLine="720"/>
        <w:jc w:val="both"/>
        <w:rPr>
          <w:bCs/>
          <w:sz w:val="20"/>
          <w:szCs w:val="20"/>
        </w:rPr>
      </w:pPr>
      <w:r w:rsidRPr="00980BB2">
        <w:rPr>
          <w:bCs/>
          <w:sz w:val="20"/>
          <w:szCs w:val="20"/>
        </w:rPr>
        <w:t xml:space="preserve">The author would like to thank the chairman of the </w:t>
      </w:r>
      <w:proofErr w:type="spellStart"/>
      <w:r w:rsidRPr="00980BB2">
        <w:rPr>
          <w:bCs/>
          <w:sz w:val="20"/>
          <w:szCs w:val="20"/>
        </w:rPr>
        <w:t>Tahfidzul</w:t>
      </w:r>
      <w:proofErr w:type="spellEnd"/>
      <w:r w:rsidRPr="00980BB2">
        <w:rPr>
          <w:bCs/>
          <w:sz w:val="20"/>
          <w:szCs w:val="20"/>
        </w:rPr>
        <w:t xml:space="preserve"> Qur</w:t>
      </w:r>
      <w:r w:rsidR="00E478FA">
        <w:rPr>
          <w:bCs/>
          <w:sz w:val="20"/>
          <w:szCs w:val="20"/>
        </w:rPr>
        <w:t>’</w:t>
      </w:r>
      <w:r w:rsidRPr="00980BB2">
        <w:rPr>
          <w:bCs/>
          <w:sz w:val="20"/>
          <w:szCs w:val="20"/>
        </w:rPr>
        <w:t xml:space="preserve">an </w:t>
      </w:r>
      <w:proofErr w:type="spellStart"/>
      <w:r w:rsidRPr="00980BB2">
        <w:rPr>
          <w:bCs/>
          <w:sz w:val="20"/>
          <w:szCs w:val="20"/>
        </w:rPr>
        <w:t>As</w:t>
      </w:r>
      <w:r w:rsidR="00E478FA">
        <w:rPr>
          <w:bCs/>
          <w:sz w:val="20"/>
          <w:szCs w:val="20"/>
        </w:rPr>
        <w:t>’</w:t>
      </w:r>
      <w:r w:rsidRPr="00980BB2">
        <w:rPr>
          <w:bCs/>
          <w:sz w:val="20"/>
          <w:szCs w:val="20"/>
        </w:rPr>
        <w:t>adiyah</w:t>
      </w:r>
      <w:proofErr w:type="spellEnd"/>
      <w:r w:rsidRPr="00980BB2">
        <w:rPr>
          <w:bCs/>
          <w:sz w:val="20"/>
          <w:szCs w:val="20"/>
        </w:rPr>
        <w:t xml:space="preserve"> </w:t>
      </w:r>
      <w:proofErr w:type="spellStart"/>
      <w:r w:rsidRPr="00980BB2">
        <w:rPr>
          <w:bCs/>
          <w:sz w:val="20"/>
          <w:szCs w:val="20"/>
        </w:rPr>
        <w:t>Wonomulyo</w:t>
      </w:r>
      <w:proofErr w:type="spellEnd"/>
      <w:r w:rsidRPr="00980BB2">
        <w:rPr>
          <w:bCs/>
          <w:sz w:val="20"/>
          <w:szCs w:val="20"/>
        </w:rPr>
        <w:t xml:space="preserve"> Islamic Boarding School, </w:t>
      </w:r>
      <w:proofErr w:type="spellStart"/>
      <w:r w:rsidRPr="00980BB2">
        <w:rPr>
          <w:bCs/>
          <w:sz w:val="20"/>
          <w:szCs w:val="20"/>
        </w:rPr>
        <w:t>Polewali</w:t>
      </w:r>
      <w:proofErr w:type="spellEnd"/>
      <w:r w:rsidRPr="00980BB2">
        <w:rPr>
          <w:bCs/>
          <w:sz w:val="20"/>
          <w:szCs w:val="20"/>
        </w:rPr>
        <w:t xml:space="preserve"> Mandar Regency, for giving permission to collect research data at his institution. </w:t>
      </w:r>
      <w:proofErr w:type="gramStart"/>
      <w:r w:rsidRPr="00980BB2">
        <w:rPr>
          <w:bCs/>
          <w:sz w:val="20"/>
          <w:szCs w:val="20"/>
        </w:rPr>
        <w:t>Likewise</w:t>
      </w:r>
      <w:proofErr w:type="gramEnd"/>
      <w:r w:rsidRPr="00980BB2">
        <w:rPr>
          <w:bCs/>
          <w:sz w:val="20"/>
          <w:szCs w:val="20"/>
        </w:rPr>
        <w:t xml:space="preserve"> to all Al-Qur'an Hadith teachers and class X </w:t>
      </w:r>
      <w:proofErr w:type="spellStart"/>
      <w:r w:rsidRPr="00980BB2">
        <w:rPr>
          <w:bCs/>
          <w:sz w:val="20"/>
          <w:szCs w:val="20"/>
        </w:rPr>
        <w:t>Salalfiyah</w:t>
      </w:r>
      <w:proofErr w:type="spellEnd"/>
      <w:r w:rsidRPr="00980BB2">
        <w:rPr>
          <w:bCs/>
          <w:sz w:val="20"/>
          <w:szCs w:val="20"/>
        </w:rPr>
        <w:t xml:space="preserve"> </w:t>
      </w:r>
      <w:proofErr w:type="spellStart"/>
      <w:r w:rsidRPr="00980BB2">
        <w:rPr>
          <w:bCs/>
          <w:sz w:val="20"/>
          <w:szCs w:val="20"/>
        </w:rPr>
        <w:t>Marhala</w:t>
      </w:r>
      <w:proofErr w:type="spellEnd"/>
      <w:r w:rsidRPr="00980BB2">
        <w:rPr>
          <w:bCs/>
          <w:sz w:val="20"/>
          <w:szCs w:val="20"/>
        </w:rPr>
        <w:t xml:space="preserve"> Ulya students who are willing to become informants and samples for this research.</w:t>
      </w:r>
    </w:p>
    <w:p w14:paraId="289D278A" w14:textId="77777777" w:rsidR="00980BB2" w:rsidRPr="00980BB2" w:rsidRDefault="00980BB2" w:rsidP="00980BB2">
      <w:pPr>
        <w:suppressAutoHyphens w:val="0"/>
        <w:ind w:firstLine="720"/>
        <w:jc w:val="both"/>
        <w:rPr>
          <w:rFonts w:eastAsia="Calibri"/>
          <w:lang w:val="id-ID" w:eastAsia="en-US"/>
        </w:rPr>
      </w:pPr>
    </w:p>
    <w:p w14:paraId="3002B106" w14:textId="77777777" w:rsidR="00980BB2" w:rsidRPr="00980BB2" w:rsidRDefault="00980BB2" w:rsidP="00980BB2">
      <w:pPr>
        <w:tabs>
          <w:tab w:val="left" w:pos="340"/>
        </w:tabs>
        <w:spacing w:line="276" w:lineRule="auto"/>
        <w:rPr>
          <w:rFonts w:eastAsia="Calibri"/>
          <w:lang w:val="id-ID" w:eastAsia="en-US"/>
        </w:rPr>
      </w:pPr>
      <w:r w:rsidRPr="00980BB2">
        <w:rPr>
          <w:b/>
          <w:caps/>
        </w:rPr>
        <w:t>REFERENCES</w:t>
      </w:r>
    </w:p>
    <w:p w14:paraId="724E0F7D"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lang w:val="id-ID" w:eastAsia="en-US"/>
        </w:rPr>
        <w:fldChar w:fldCharType="begin" w:fldLock="1"/>
      </w:r>
      <w:r w:rsidRPr="00980BB2">
        <w:rPr>
          <w:rFonts w:eastAsia="Calibri"/>
          <w:lang w:val="id-ID" w:eastAsia="en-US"/>
        </w:rPr>
        <w:instrText xml:space="preserve">ADDIN Mendeley Bibliography CSL_BIBLIOGRAPHY </w:instrText>
      </w:r>
      <w:r w:rsidRPr="00980BB2">
        <w:rPr>
          <w:rFonts w:eastAsia="Calibri"/>
          <w:lang w:val="id-ID" w:eastAsia="en-US"/>
        </w:rPr>
        <w:fldChar w:fldCharType="separate"/>
      </w:r>
      <w:r w:rsidRPr="00980BB2">
        <w:rPr>
          <w:rFonts w:eastAsia="Calibri"/>
          <w:noProof/>
          <w:sz w:val="22"/>
          <w:szCs w:val="22"/>
          <w:lang w:eastAsia="en-US"/>
        </w:rPr>
        <w:t xml:space="preserve">Abdullah, Muhammad Khairuddin Lim, Azham Mohd Ali, Hariyaty Abd Wahid, and Norlaile Salleh Hudin. 2020. “Integrated Model of the Implementation of Pedagogical Skills in Teaching and Learning of the 21st Century among Lecturers of Universiti Pendidikan Sultan Idris.” </w:t>
      </w:r>
      <w:r w:rsidRPr="00980BB2">
        <w:rPr>
          <w:rFonts w:eastAsia="Calibri"/>
          <w:i/>
          <w:iCs/>
          <w:noProof/>
          <w:sz w:val="22"/>
          <w:szCs w:val="22"/>
          <w:lang w:eastAsia="en-US"/>
        </w:rPr>
        <w:t>Management Research Journal</w:t>
      </w:r>
      <w:r w:rsidRPr="00980BB2">
        <w:rPr>
          <w:rFonts w:eastAsia="Calibri"/>
          <w:noProof/>
          <w:sz w:val="22"/>
          <w:szCs w:val="22"/>
          <w:lang w:eastAsia="en-US"/>
        </w:rPr>
        <w:t xml:space="preserve"> 9: 36–42. https://ojs.upsi.edu.my/index.php/MRJ/article/view/4112.</w:t>
      </w:r>
    </w:p>
    <w:p w14:paraId="37B52639"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Ainun, Nur, and Ahmad Kosasih. 2021. “Implementasi Metode Qira’ati dalam Pembelajaran Ilmu Tajwid.” </w:t>
      </w:r>
      <w:r w:rsidRPr="00980BB2">
        <w:rPr>
          <w:rFonts w:eastAsia="Calibri"/>
          <w:i/>
          <w:iCs/>
          <w:noProof/>
          <w:sz w:val="22"/>
          <w:szCs w:val="22"/>
          <w:lang w:eastAsia="en-US"/>
        </w:rPr>
        <w:t>An-Nuha</w:t>
      </w:r>
      <w:r w:rsidRPr="00980BB2">
        <w:rPr>
          <w:rFonts w:eastAsia="Calibri"/>
          <w:noProof/>
          <w:sz w:val="22"/>
          <w:szCs w:val="22"/>
          <w:lang w:eastAsia="en-US"/>
        </w:rPr>
        <w:t xml:space="preserve"> 1 (4): 566–72. https://doi.org/10.24036/annuha.v1i4.131.</w:t>
      </w:r>
    </w:p>
    <w:p w14:paraId="3B881D44"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lastRenderedPageBreak/>
        <w:t xml:space="preserve">Arsyad, Azhar. 2017. </w:t>
      </w:r>
      <w:r w:rsidRPr="00980BB2">
        <w:rPr>
          <w:rFonts w:eastAsia="Calibri"/>
          <w:i/>
          <w:iCs/>
          <w:noProof/>
          <w:sz w:val="22"/>
          <w:szCs w:val="22"/>
          <w:lang w:eastAsia="en-US"/>
        </w:rPr>
        <w:t>Media Pembelajaran</w:t>
      </w:r>
      <w:r w:rsidRPr="00980BB2">
        <w:rPr>
          <w:rFonts w:eastAsia="Calibri"/>
          <w:noProof/>
          <w:sz w:val="22"/>
          <w:szCs w:val="22"/>
          <w:lang w:eastAsia="en-US"/>
        </w:rPr>
        <w:t>. 15</w:t>
      </w:r>
      <w:r w:rsidRPr="00980BB2">
        <w:rPr>
          <w:rFonts w:eastAsia="Calibri"/>
          <w:noProof/>
          <w:sz w:val="22"/>
          <w:szCs w:val="22"/>
          <w:vertAlign w:val="superscript"/>
          <w:lang w:eastAsia="en-US"/>
        </w:rPr>
        <w:t>th</w:t>
      </w:r>
      <w:r w:rsidRPr="00980BB2">
        <w:rPr>
          <w:rFonts w:eastAsia="Calibri"/>
          <w:noProof/>
          <w:sz w:val="22"/>
          <w:szCs w:val="22"/>
          <w:lang w:eastAsia="en-US"/>
        </w:rPr>
        <w:t xml:space="preserve"> ed. Jakarta: Rajawali Pers.</w:t>
      </w:r>
    </w:p>
    <w:p w14:paraId="6FD79B42"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Barus, Rahma Safitri. 2021. “Pengaruh Penggunaan Media Audio-visual dan Kemampuan Membaca Al-Qur’an terhadap Hasil Belajar Tahfidz di SMP Swasta Islam Terpadu Nurul ‘Azizi Medan.” </w:t>
      </w:r>
      <w:r w:rsidRPr="00980BB2">
        <w:rPr>
          <w:rFonts w:eastAsia="Calibri"/>
          <w:i/>
          <w:iCs/>
          <w:noProof/>
          <w:sz w:val="22"/>
          <w:szCs w:val="22"/>
          <w:lang w:eastAsia="en-US"/>
        </w:rPr>
        <w:t>Tesis</w:t>
      </w:r>
      <w:r w:rsidRPr="00980BB2">
        <w:rPr>
          <w:rFonts w:eastAsia="Calibri"/>
          <w:noProof/>
          <w:sz w:val="22"/>
          <w:szCs w:val="22"/>
          <w:lang w:eastAsia="en-US"/>
        </w:rPr>
        <w:t>. Medan: Universitas Islam Negeri Sumatera Utara.</w:t>
      </w:r>
    </w:p>
    <w:p w14:paraId="3D6C1FD9"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Buckingham, David. 2020. “Epilogue: Rethinking Digital Literacy: Media Education in the Age of Digital Capitalism.” </w:t>
      </w:r>
      <w:r w:rsidRPr="00980BB2">
        <w:rPr>
          <w:rFonts w:eastAsia="Calibri"/>
          <w:i/>
          <w:iCs/>
          <w:noProof/>
          <w:sz w:val="22"/>
          <w:szCs w:val="22"/>
          <w:lang w:eastAsia="en-US"/>
        </w:rPr>
        <w:t>Digital Education Review</w:t>
      </w:r>
      <w:r w:rsidRPr="00980BB2">
        <w:rPr>
          <w:rFonts w:eastAsia="Calibri"/>
          <w:noProof/>
          <w:sz w:val="22"/>
          <w:szCs w:val="22"/>
          <w:lang w:eastAsia="en-US"/>
        </w:rPr>
        <w:t>, no. 37: 230–39. https://doi.org/10.1344/der.2020.37.230-239.</w:t>
      </w:r>
    </w:p>
    <w:p w14:paraId="780E9ED2"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Burga, Muhammad Alqadri. 2023. “Pendampingan Baca Tulis Al-Qur’an (BTQ) Mahasiswa Melalui Pesantren Arbain pada Universitas Islam Makassar.” </w:t>
      </w:r>
      <w:r w:rsidRPr="00980BB2">
        <w:rPr>
          <w:rFonts w:eastAsia="Calibri"/>
          <w:i/>
          <w:iCs/>
          <w:noProof/>
          <w:sz w:val="22"/>
          <w:szCs w:val="22"/>
          <w:lang w:eastAsia="en-US"/>
        </w:rPr>
        <w:t>Ash-Shahabah: Jurnal Pengabdian Masyarakat</w:t>
      </w:r>
      <w:r w:rsidRPr="00980BB2">
        <w:rPr>
          <w:rFonts w:eastAsia="Calibri"/>
          <w:noProof/>
          <w:sz w:val="22"/>
          <w:szCs w:val="22"/>
          <w:lang w:eastAsia="en-US"/>
        </w:rPr>
        <w:t xml:space="preserve"> 2 (1): 8–14. http://journal-uim-makassar.ac.id/index.php/ashabdimas/article/view/491.</w:t>
      </w:r>
    </w:p>
    <w:p w14:paraId="63EFDA12"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Fadlilah, Yesi, and Zainal Abidin. 2020. “Implementasi Media Tajwid Putar dalam Pembelajaran Ilmu Tajwid.” </w:t>
      </w:r>
      <w:r w:rsidRPr="00980BB2">
        <w:rPr>
          <w:rFonts w:eastAsia="Calibri"/>
          <w:i/>
          <w:iCs/>
          <w:noProof/>
          <w:sz w:val="22"/>
          <w:szCs w:val="22"/>
          <w:lang w:eastAsia="en-US"/>
        </w:rPr>
        <w:t>Tarlim: Jurnal Pendidikan Agama Islam</w:t>
      </w:r>
      <w:r w:rsidRPr="00980BB2">
        <w:rPr>
          <w:rFonts w:eastAsia="Calibri"/>
          <w:noProof/>
          <w:sz w:val="22"/>
          <w:szCs w:val="22"/>
          <w:lang w:eastAsia="en-US"/>
        </w:rPr>
        <w:t xml:space="preserve"> 3 (2): 147–57. https://doi.org/10.32528/tarlim.v3i2.3479.</w:t>
      </w:r>
    </w:p>
    <w:p w14:paraId="038DC114"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Fauzan, Ari Amri, Damajanti Kusuma Dewi, and Kampus Lidah Wetan. 2013. “Pengembangan Media Audio Pendidikan Agama Islam QS At-Thaariq dan Hukum Bacaan Tajwid untuk Meningkatkan Prestasi Belajar Siswa Kelas III MI Miftahul Ulum Surabaya.” </w:t>
      </w:r>
      <w:r w:rsidRPr="00980BB2">
        <w:rPr>
          <w:rFonts w:eastAsia="Calibri"/>
          <w:i/>
          <w:iCs/>
          <w:noProof/>
          <w:sz w:val="22"/>
          <w:szCs w:val="22"/>
          <w:lang w:eastAsia="en-US"/>
        </w:rPr>
        <w:t>Jurnal Mahasiswa Teknologi Pendidikan</w:t>
      </w:r>
      <w:r w:rsidRPr="00980BB2">
        <w:rPr>
          <w:rFonts w:eastAsia="Calibri"/>
          <w:noProof/>
          <w:sz w:val="22"/>
          <w:szCs w:val="22"/>
          <w:lang w:eastAsia="en-US"/>
        </w:rPr>
        <w:t xml:space="preserve"> 4 (3): 1–12. https://ejournal.unesa.ac.id/index.php/jmtp/article/view/4466.</w:t>
      </w:r>
    </w:p>
    <w:p w14:paraId="7034DC40"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Fitriyah, Siti Lailatul, and Nur Aisyah. 2021. “Penerapan Metode Yanbu’a dalam Meningkatkan Kemampuan Membaca Al-Qur’an Anak Didik TPQ Al-Azhar Prenduan Kepanjen Jember.” </w:t>
      </w:r>
      <w:r w:rsidRPr="00980BB2">
        <w:rPr>
          <w:rFonts w:eastAsia="Calibri"/>
          <w:i/>
          <w:iCs/>
          <w:noProof/>
          <w:sz w:val="22"/>
          <w:szCs w:val="22"/>
          <w:lang w:eastAsia="en-US"/>
        </w:rPr>
        <w:t>TA’LIM: Jurnal Studi Pendidikan Islam</w:t>
      </w:r>
      <w:r w:rsidRPr="00980BB2">
        <w:rPr>
          <w:rFonts w:eastAsia="Calibri"/>
          <w:noProof/>
          <w:sz w:val="22"/>
          <w:szCs w:val="22"/>
          <w:lang w:eastAsia="en-US"/>
        </w:rPr>
        <w:t xml:space="preserve"> 4 (1): 22–41. https://doi.org/10.52166/talim.v4i1.2179.</w:t>
      </w:r>
    </w:p>
    <w:p w14:paraId="36F28819"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Gómez-Galán, José. 2020. “Media Education in the ICT Era: Theoretical Structure for Innovative Teaching Styles.” </w:t>
      </w:r>
      <w:r w:rsidRPr="00980BB2">
        <w:rPr>
          <w:rFonts w:eastAsia="Calibri"/>
          <w:i/>
          <w:iCs/>
          <w:noProof/>
          <w:sz w:val="22"/>
          <w:szCs w:val="22"/>
          <w:lang w:eastAsia="en-US"/>
        </w:rPr>
        <w:t>Information</w:t>
      </w:r>
      <w:r w:rsidRPr="00980BB2">
        <w:rPr>
          <w:rFonts w:eastAsia="Calibri"/>
          <w:noProof/>
          <w:sz w:val="22"/>
          <w:szCs w:val="22"/>
          <w:lang w:eastAsia="en-US"/>
        </w:rPr>
        <w:t xml:space="preserve"> 11 (5): 276. https://doi.org/10.3390/info11050276.</w:t>
      </w:r>
    </w:p>
    <w:p w14:paraId="115C02DF"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Hambali, Hambali, Fathor Rozi, and Nor Farida. 2021. “Pengelolaan Pembelajaran Ilmu Tajwid Melalui Media Audio-visual.” </w:t>
      </w:r>
      <w:r w:rsidRPr="00980BB2">
        <w:rPr>
          <w:rFonts w:eastAsia="Calibri"/>
          <w:i/>
          <w:iCs/>
          <w:noProof/>
          <w:sz w:val="22"/>
          <w:szCs w:val="22"/>
          <w:lang w:eastAsia="en-US"/>
        </w:rPr>
        <w:t>Naturalistic: Jurnal Kajian dan Penelitian Pendidikan dan Pembelajaran</w:t>
      </w:r>
      <w:r w:rsidRPr="00980BB2">
        <w:rPr>
          <w:rFonts w:eastAsia="Calibri"/>
          <w:noProof/>
          <w:sz w:val="22"/>
          <w:szCs w:val="22"/>
          <w:lang w:eastAsia="en-US"/>
        </w:rPr>
        <w:t xml:space="preserve"> 5 (2): 872–81. https://doi.org/10.35568/naturalistic.v5i2.1180.</w:t>
      </w:r>
    </w:p>
    <w:p w14:paraId="11E6EC0C"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Ikmal, Hepi. 2023. </w:t>
      </w:r>
      <w:r w:rsidRPr="00980BB2">
        <w:rPr>
          <w:rFonts w:eastAsia="Calibri"/>
          <w:i/>
          <w:iCs/>
          <w:noProof/>
          <w:sz w:val="22"/>
          <w:szCs w:val="22"/>
          <w:lang w:eastAsia="en-US"/>
        </w:rPr>
        <w:t>Media Pembelajaran Pendidikan Agama Islam: Konsep, Pemilihan, Pengembangan dan Evaluasi</w:t>
      </w:r>
      <w:r w:rsidRPr="00980BB2">
        <w:rPr>
          <w:rFonts w:eastAsia="Calibri"/>
          <w:noProof/>
          <w:sz w:val="22"/>
          <w:szCs w:val="22"/>
          <w:lang w:eastAsia="en-US"/>
        </w:rPr>
        <w:t>. Lamongan: Nawa Litera Publishing.</w:t>
      </w:r>
    </w:p>
    <w:p w14:paraId="62FA4353"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Istiqomah, Nur. 2022. “Media Cetak Pembelajaran Tajwid Putar dalam Meningkatkan Kemampuan Membaca Al-Qur’an pada Mata Pelajaran Pendidikan Agama Islam di SMKN 4 Kota Serang.” </w:t>
      </w:r>
      <w:r w:rsidRPr="00980BB2">
        <w:rPr>
          <w:rFonts w:eastAsia="Calibri"/>
          <w:i/>
          <w:iCs/>
          <w:noProof/>
          <w:sz w:val="22"/>
          <w:szCs w:val="22"/>
          <w:lang w:eastAsia="en-US"/>
        </w:rPr>
        <w:t>Tesis</w:t>
      </w:r>
      <w:r w:rsidRPr="00980BB2">
        <w:rPr>
          <w:rFonts w:eastAsia="Calibri"/>
          <w:noProof/>
          <w:sz w:val="22"/>
          <w:szCs w:val="22"/>
          <w:lang w:eastAsia="en-US"/>
        </w:rPr>
        <w:t>. Banten: UIN SMH Banten. https://repository.uinbanten.ac.id/7915.</w:t>
      </w:r>
    </w:p>
    <w:p w14:paraId="35F5C57B"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Kholili, Yusroful. 2021. “Challenges for Pesantren in the Revolution Era of Society 5.0.” </w:t>
      </w:r>
      <w:r w:rsidRPr="00980BB2">
        <w:rPr>
          <w:rFonts w:eastAsia="Calibri"/>
          <w:i/>
          <w:iCs/>
          <w:noProof/>
          <w:sz w:val="22"/>
          <w:szCs w:val="22"/>
          <w:lang w:eastAsia="en-US"/>
        </w:rPr>
        <w:t>AMCA Journal of Religion and Society</w:t>
      </w:r>
      <w:r w:rsidRPr="00980BB2">
        <w:rPr>
          <w:rFonts w:eastAsia="Calibri"/>
          <w:noProof/>
          <w:sz w:val="22"/>
          <w:szCs w:val="22"/>
          <w:lang w:eastAsia="en-US"/>
        </w:rPr>
        <w:t xml:space="preserve"> 1 (1): 8–12. https://doi.org/10.51773/ajrs.v1i1.33.</w:t>
      </w:r>
    </w:p>
    <w:p w14:paraId="30A5E2F7"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Kusuma, Yuanda. 2018. “Model-model Perkembangan Pembelajaran BTQ di TPQ/TPA di Indonesia.” </w:t>
      </w:r>
      <w:r w:rsidRPr="00980BB2">
        <w:rPr>
          <w:rFonts w:eastAsia="Calibri"/>
          <w:i/>
          <w:iCs/>
          <w:noProof/>
          <w:sz w:val="22"/>
          <w:szCs w:val="22"/>
          <w:lang w:eastAsia="en-US"/>
        </w:rPr>
        <w:t>J-PAI: Jurnal Pendidikan Agama Islam</w:t>
      </w:r>
      <w:r w:rsidRPr="00980BB2">
        <w:rPr>
          <w:rFonts w:eastAsia="Calibri"/>
          <w:noProof/>
          <w:sz w:val="22"/>
          <w:szCs w:val="22"/>
          <w:lang w:eastAsia="en-US"/>
        </w:rPr>
        <w:t xml:space="preserve"> 5 (1): 46–58. https://doi.org/10.18860/jpai.v5i1.6520.</w:t>
      </w:r>
    </w:p>
    <w:p w14:paraId="6700EB0E"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Liu, Qian, Susan Geertshuis, and Rebecca Grainger. 2020. “Understanding Academics’ Adoption of Learning Technologies: A Systematic Review.” </w:t>
      </w:r>
      <w:r w:rsidRPr="00980BB2">
        <w:rPr>
          <w:rFonts w:eastAsia="Calibri"/>
          <w:i/>
          <w:iCs/>
          <w:noProof/>
          <w:sz w:val="22"/>
          <w:szCs w:val="22"/>
          <w:lang w:eastAsia="en-US"/>
        </w:rPr>
        <w:t>Computers &amp; Education</w:t>
      </w:r>
      <w:r w:rsidRPr="00980BB2">
        <w:rPr>
          <w:rFonts w:eastAsia="Calibri"/>
          <w:noProof/>
          <w:sz w:val="22"/>
          <w:szCs w:val="22"/>
          <w:lang w:eastAsia="en-US"/>
        </w:rPr>
        <w:t xml:space="preserve"> 151: 103857. https://doi.org/10.1016/j.compedu.2020.103857.</w:t>
      </w:r>
    </w:p>
    <w:p w14:paraId="2946634F"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Lubis, Tari Cantika, and Mavianti Mavianti. 2022. “Penerapan Media Audio-visual dalam Meningkatkan Motivasi Belajar Pendidikan Agama Islam pada Anak.” </w:t>
      </w:r>
      <w:r w:rsidRPr="00980BB2">
        <w:rPr>
          <w:rFonts w:eastAsia="Calibri"/>
          <w:i/>
          <w:iCs/>
          <w:noProof/>
          <w:sz w:val="22"/>
          <w:szCs w:val="22"/>
          <w:lang w:eastAsia="en-US"/>
        </w:rPr>
        <w:t>Jurnal Raudhah</w:t>
      </w:r>
      <w:r w:rsidRPr="00980BB2">
        <w:rPr>
          <w:rFonts w:eastAsia="Calibri"/>
          <w:noProof/>
          <w:sz w:val="22"/>
          <w:szCs w:val="22"/>
          <w:lang w:eastAsia="en-US"/>
        </w:rPr>
        <w:t xml:space="preserve"> 10 (2): 45–53. https://doi.org/10.30829/raudhah.v10i2.2004.</w:t>
      </w:r>
    </w:p>
    <w:p w14:paraId="0C5CA4C5"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Luk, Luil Inayati. 2021. “Upaya Guru dalam Meningkatkan Kemampuan Membaca Al-Qur'an sesuai Ilmu Tajwid pada Pembelajaran Al-Qur'an Online (Studi Kasus di Yayasan Al Ikhwan Meruya).” </w:t>
      </w:r>
      <w:r w:rsidRPr="00980BB2">
        <w:rPr>
          <w:rFonts w:eastAsia="Calibri"/>
          <w:i/>
          <w:iCs/>
          <w:noProof/>
          <w:sz w:val="22"/>
          <w:szCs w:val="22"/>
          <w:lang w:eastAsia="en-US"/>
        </w:rPr>
        <w:t>Skripsi</w:t>
      </w:r>
      <w:r w:rsidRPr="00980BB2">
        <w:rPr>
          <w:rFonts w:eastAsia="Calibri"/>
          <w:noProof/>
          <w:sz w:val="22"/>
          <w:szCs w:val="22"/>
          <w:lang w:eastAsia="en-US"/>
        </w:rPr>
        <w:t>. Fakultas Agama Islam, Universitas Muhammadiyah Jakarta.</w:t>
      </w:r>
    </w:p>
    <w:p w14:paraId="5929CF97"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lang w:eastAsia="en-US"/>
        </w:rPr>
        <w:t xml:space="preserve">Mashudi, Mashudi, Kokom Komariah, and Moh Farizqo Irvan. 2021. “The Use of Audio-Visual Media in Improving Culinary Students Learning Outcomes in Chicken Carcass Material.” </w:t>
      </w:r>
      <w:r w:rsidRPr="00980BB2">
        <w:rPr>
          <w:rFonts w:eastAsia="Calibri"/>
          <w:i/>
          <w:iCs/>
          <w:noProof/>
          <w:sz w:val="22"/>
          <w:lang w:eastAsia="en-US"/>
        </w:rPr>
        <w:t>Jurnal Pendidikan Vokasi</w:t>
      </w:r>
      <w:r w:rsidRPr="00980BB2">
        <w:rPr>
          <w:rFonts w:eastAsia="Calibri"/>
          <w:noProof/>
          <w:sz w:val="22"/>
          <w:lang w:eastAsia="en-US"/>
        </w:rPr>
        <w:t xml:space="preserve"> 11 (1): 14–23. https://doi.org/10.21831/jpv.v11i1.36439.</w:t>
      </w:r>
    </w:p>
    <w:p w14:paraId="79CAACFF" w14:textId="77777777" w:rsidR="00E478FA" w:rsidRDefault="00E478FA" w:rsidP="00980BB2">
      <w:pPr>
        <w:widowControl w:val="0"/>
        <w:suppressAutoHyphens w:val="0"/>
        <w:autoSpaceDE w:val="0"/>
        <w:autoSpaceDN w:val="0"/>
        <w:adjustRightInd w:val="0"/>
        <w:spacing w:before="60"/>
        <w:ind w:left="480" w:hanging="480"/>
        <w:rPr>
          <w:rFonts w:eastAsia="Calibri"/>
          <w:noProof/>
          <w:sz w:val="22"/>
          <w:szCs w:val="22"/>
          <w:lang w:eastAsia="en-US"/>
        </w:rPr>
      </w:pPr>
    </w:p>
    <w:p w14:paraId="340DAC46" w14:textId="2AD2F340"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lastRenderedPageBreak/>
        <w:t xml:space="preserve">Maulana, Muhammad Ryan, and Muhammad Nasir. 2022. “Pengembangan Media Interaktif Berbasis Aplikasi Android pada Pembelajaran Ilmu Tahsin dan Tajwid.” </w:t>
      </w:r>
      <w:r w:rsidRPr="00980BB2">
        <w:rPr>
          <w:rFonts w:eastAsia="Calibri"/>
          <w:i/>
          <w:iCs/>
          <w:noProof/>
          <w:sz w:val="22"/>
          <w:szCs w:val="22"/>
          <w:lang w:eastAsia="en-US"/>
        </w:rPr>
        <w:t>Jurnal Basicedu</w:t>
      </w:r>
      <w:r w:rsidRPr="00980BB2">
        <w:rPr>
          <w:rFonts w:eastAsia="Calibri"/>
          <w:noProof/>
          <w:sz w:val="22"/>
          <w:szCs w:val="22"/>
          <w:lang w:eastAsia="en-US"/>
        </w:rPr>
        <w:t xml:space="preserve"> 6 (2): 1756–65. https://doi.org/10.31004/basicedu.v6i2.2280.</w:t>
      </w:r>
    </w:p>
    <w:p w14:paraId="0B96B9CC"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Mayer, Richard E, Logan Fiorella, and Andrew Stull. 2020. “Five Ways to Increase the Effectiveness of Instructional Video.” </w:t>
      </w:r>
      <w:r w:rsidRPr="00980BB2">
        <w:rPr>
          <w:rFonts w:eastAsia="Calibri"/>
          <w:i/>
          <w:iCs/>
          <w:noProof/>
          <w:sz w:val="22"/>
          <w:szCs w:val="22"/>
          <w:lang w:eastAsia="en-US"/>
        </w:rPr>
        <w:t>Educational Technology Research and Development</w:t>
      </w:r>
      <w:r w:rsidRPr="00980BB2">
        <w:rPr>
          <w:rFonts w:eastAsia="Calibri"/>
          <w:noProof/>
          <w:sz w:val="22"/>
          <w:szCs w:val="22"/>
          <w:lang w:eastAsia="en-US"/>
        </w:rPr>
        <w:t xml:space="preserve"> 68 (3): 837–52. https://doi.org/10.1007/s11423-020-09749-6.</w:t>
      </w:r>
    </w:p>
    <w:p w14:paraId="30627BB6"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Mohamed, Faraliza, and Shahlan Surat. 2023. “Pengetahuan dan Amalan Pengajaran VAK Guru dalam Prasekolah.” </w:t>
      </w:r>
      <w:r w:rsidRPr="00980BB2">
        <w:rPr>
          <w:rFonts w:eastAsia="Calibri"/>
          <w:i/>
          <w:iCs/>
          <w:noProof/>
          <w:sz w:val="22"/>
          <w:szCs w:val="22"/>
          <w:lang w:eastAsia="en-US"/>
        </w:rPr>
        <w:t>Malaysian Journal of Social Sciences and Humanities (MJSSH)</w:t>
      </w:r>
      <w:r w:rsidRPr="00980BB2">
        <w:rPr>
          <w:rFonts w:eastAsia="Calibri"/>
          <w:noProof/>
          <w:sz w:val="22"/>
          <w:szCs w:val="22"/>
          <w:lang w:eastAsia="en-US"/>
        </w:rPr>
        <w:t xml:space="preserve"> 8 (5): e002329. https://doi.org/10.47405/mjssh.v8i5.2329.</w:t>
      </w:r>
    </w:p>
    <w:p w14:paraId="4D30BC39"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Mun’im Amaly, Abdul, Uus Ruswandi, Giantomi Muhammad, and Muhammad Erihadiana. 2022. “PAI (Islamic Religious Education) Teacher in Facing The Millenial Era Challenges.” </w:t>
      </w:r>
      <w:r w:rsidRPr="00980BB2">
        <w:rPr>
          <w:rFonts w:eastAsia="Calibri"/>
          <w:i/>
          <w:iCs/>
          <w:noProof/>
          <w:sz w:val="22"/>
          <w:szCs w:val="22"/>
          <w:lang w:eastAsia="en-US"/>
        </w:rPr>
        <w:t>Al-Tadzkiyyah: Jurnal Pendidikan Islam</w:t>
      </w:r>
      <w:r w:rsidRPr="00980BB2">
        <w:rPr>
          <w:rFonts w:eastAsia="Calibri"/>
          <w:noProof/>
          <w:sz w:val="22"/>
          <w:szCs w:val="22"/>
          <w:lang w:eastAsia="en-US"/>
        </w:rPr>
        <w:t xml:space="preserve"> 13 (1): 47–62. https://doi.org/10.24042/atjpi.v13i1.9438.</w:t>
      </w:r>
    </w:p>
    <w:p w14:paraId="61B1BF01"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Nasution, Sumaatmadja. 2011. </w:t>
      </w:r>
      <w:r w:rsidRPr="00980BB2">
        <w:rPr>
          <w:rFonts w:eastAsia="Calibri"/>
          <w:i/>
          <w:iCs/>
          <w:noProof/>
          <w:sz w:val="22"/>
          <w:szCs w:val="22"/>
          <w:lang w:eastAsia="en-US"/>
        </w:rPr>
        <w:t>Berbagai Pendekatan dalam Proses Belajar dan Mengajar</w:t>
      </w:r>
      <w:r w:rsidRPr="00980BB2">
        <w:rPr>
          <w:rFonts w:eastAsia="Calibri"/>
          <w:noProof/>
          <w:sz w:val="22"/>
          <w:szCs w:val="22"/>
          <w:lang w:eastAsia="en-US"/>
        </w:rPr>
        <w:t>. Jakarta: Bumi Aksara.</w:t>
      </w:r>
    </w:p>
    <w:p w14:paraId="7AF98391"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Nobisa, Junaidin. 2021. “Pengunaan Metode Ummi dalam Pembelajaran Al-Qur’an.” </w:t>
      </w:r>
      <w:r w:rsidRPr="00980BB2">
        <w:rPr>
          <w:rFonts w:eastAsia="Calibri"/>
          <w:i/>
          <w:iCs/>
          <w:noProof/>
          <w:sz w:val="22"/>
          <w:szCs w:val="22"/>
          <w:lang w:eastAsia="en-US"/>
        </w:rPr>
        <w:t>AL-FIKRAH: Jurnal Studi Ilmu Pendidikan dan Keislaman</w:t>
      </w:r>
      <w:r w:rsidRPr="00980BB2">
        <w:rPr>
          <w:rFonts w:eastAsia="Calibri"/>
          <w:noProof/>
          <w:sz w:val="22"/>
          <w:szCs w:val="22"/>
          <w:lang w:eastAsia="en-US"/>
        </w:rPr>
        <w:t xml:space="preserve"> 4 (1): 44–70. https://doi.org/10.36835/al-fikrah.v4i1.110.</w:t>
      </w:r>
    </w:p>
    <w:p w14:paraId="51395BB1"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Nurhayati, Nurhayati, Syam Husain, and Sulaiman Samad. 2022. “Development of Audio-Visual Learning Media for Islamic Religious Education in High School.” </w:t>
      </w:r>
      <w:r w:rsidRPr="00980BB2">
        <w:rPr>
          <w:rFonts w:eastAsia="Calibri"/>
          <w:i/>
          <w:iCs/>
          <w:noProof/>
          <w:sz w:val="22"/>
          <w:szCs w:val="22"/>
          <w:lang w:eastAsia="en-US"/>
        </w:rPr>
        <w:t>Asian Journal of Applied Sciences</w:t>
      </w:r>
      <w:r w:rsidRPr="00980BB2">
        <w:rPr>
          <w:rFonts w:eastAsia="Calibri"/>
          <w:noProof/>
          <w:sz w:val="22"/>
          <w:szCs w:val="22"/>
          <w:lang w:eastAsia="en-US"/>
        </w:rPr>
        <w:t xml:space="preserve"> 10 (1): 53–58. https://doi.org/10.24203/ajas.v10i1.6864.</w:t>
      </w:r>
    </w:p>
    <w:p w14:paraId="207F859F"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Qiftia, Mariatul. 2021. “Implementasi Pembelajaran Ilmu Tajwid dengan Metode Iqra’di Pondok Pesantren Tahfidzul Qur’an Al-Asy’ariyyah Kalibeber Mojotengah Wonosobo.” </w:t>
      </w:r>
      <w:r w:rsidRPr="00980BB2">
        <w:rPr>
          <w:rFonts w:eastAsia="Calibri"/>
          <w:i/>
          <w:iCs/>
          <w:noProof/>
          <w:sz w:val="22"/>
          <w:szCs w:val="22"/>
          <w:lang w:eastAsia="en-US"/>
        </w:rPr>
        <w:t>Alphateach (Jurnal Profesi Kependidikan Dan Keguruan)</w:t>
      </w:r>
      <w:r w:rsidRPr="00980BB2">
        <w:rPr>
          <w:rFonts w:eastAsia="Calibri"/>
          <w:noProof/>
          <w:sz w:val="22"/>
          <w:szCs w:val="22"/>
          <w:lang w:eastAsia="en-US"/>
        </w:rPr>
        <w:t xml:space="preserve"> 1 (2): 1–9. https://ojs.unsiq.ac.id/index.php/alphateach/article/view/2722.</w:t>
      </w:r>
    </w:p>
    <w:p w14:paraId="5735E2F3"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Riduan, and Sunarto 2015. </w:t>
      </w:r>
      <w:r w:rsidRPr="00980BB2">
        <w:rPr>
          <w:rFonts w:eastAsia="Calibri"/>
          <w:i/>
          <w:iCs/>
          <w:noProof/>
          <w:sz w:val="22"/>
          <w:szCs w:val="22"/>
          <w:lang w:eastAsia="en-US"/>
        </w:rPr>
        <w:t>Pengantar Statistika</w:t>
      </w:r>
      <w:r w:rsidRPr="00980BB2">
        <w:rPr>
          <w:rFonts w:eastAsia="Calibri"/>
          <w:noProof/>
          <w:sz w:val="22"/>
          <w:szCs w:val="22"/>
          <w:lang w:eastAsia="en-US"/>
        </w:rPr>
        <w:t xml:space="preserve">. Bandung: Alfabeta. </w:t>
      </w:r>
    </w:p>
    <w:p w14:paraId="49507B57"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Safradji, Safradji. 2020. “Multi Sistem Pendidikan Pesantren dan Tantangan Masa Depan.” </w:t>
      </w:r>
      <w:r w:rsidRPr="00980BB2">
        <w:rPr>
          <w:rFonts w:eastAsia="Calibri"/>
          <w:i/>
          <w:iCs/>
          <w:noProof/>
          <w:sz w:val="22"/>
          <w:szCs w:val="22"/>
          <w:lang w:eastAsia="en-US"/>
        </w:rPr>
        <w:t>Tafhim Al-’Ilmi</w:t>
      </w:r>
      <w:r w:rsidRPr="00980BB2">
        <w:rPr>
          <w:rFonts w:eastAsia="Calibri"/>
          <w:noProof/>
          <w:sz w:val="22"/>
          <w:szCs w:val="22"/>
          <w:lang w:eastAsia="en-US"/>
        </w:rPr>
        <w:t xml:space="preserve"> 11 (2): 241–64. https://doi.org/10.37459/tafhim.v11i2.3753.</w:t>
      </w:r>
    </w:p>
    <w:p w14:paraId="2F988422"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Sanjaya, Wina. 2018. </w:t>
      </w:r>
      <w:r w:rsidRPr="00980BB2">
        <w:rPr>
          <w:rFonts w:eastAsia="Calibri"/>
          <w:i/>
          <w:iCs/>
          <w:noProof/>
          <w:sz w:val="22"/>
          <w:szCs w:val="22"/>
          <w:lang w:eastAsia="en-US"/>
        </w:rPr>
        <w:t>Strategi Pembelajaran Berorientasi Standar Proses Pendidikan</w:t>
      </w:r>
      <w:r w:rsidRPr="00980BB2">
        <w:rPr>
          <w:rFonts w:eastAsia="Calibri"/>
          <w:noProof/>
          <w:sz w:val="22"/>
          <w:szCs w:val="22"/>
          <w:lang w:eastAsia="en-US"/>
        </w:rPr>
        <w:t>. Jakarta: Kencana Prenada Media Group.</w:t>
      </w:r>
    </w:p>
    <w:p w14:paraId="0911E9CA"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Sugiyono, Sugiyono. 2017. </w:t>
      </w:r>
      <w:r w:rsidRPr="00980BB2">
        <w:rPr>
          <w:rFonts w:eastAsia="Calibri"/>
          <w:i/>
          <w:iCs/>
          <w:noProof/>
          <w:sz w:val="22"/>
          <w:szCs w:val="22"/>
          <w:lang w:eastAsia="en-US"/>
        </w:rPr>
        <w:t>Statistik untuk Penelitian</w:t>
      </w:r>
      <w:r w:rsidRPr="00980BB2">
        <w:rPr>
          <w:rFonts w:eastAsia="Calibri"/>
          <w:noProof/>
          <w:sz w:val="22"/>
          <w:szCs w:val="22"/>
          <w:lang w:eastAsia="en-US"/>
        </w:rPr>
        <w:t>. Bandung: Alfabeta.</w:t>
      </w:r>
    </w:p>
    <w:p w14:paraId="0F42B145"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Trianto, Trianto. 2017. </w:t>
      </w:r>
      <w:r w:rsidRPr="00980BB2">
        <w:rPr>
          <w:rFonts w:eastAsia="Calibri"/>
          <w:i/>
          <w:iCs/>
          <w:noProof/>
          <w:sz w:val="22"/>
          <w:szCs w:val="22"/>
          <w:lang w:eastAsia="en-US"/>
        </w:rPr>
        <w:t>Pengantar Penelitian Pendidikan bagi Pengembangan Profesi Pendidik dan Tenaga Kependidikan</w:t>
      </w:r>
      <w:r w:rsidRPr="00980BB2">
        <w:rPr>
          <w:rFonts w:eastAsia="Calibri"/>
          <w:noProof/>
          <w:sz w:val="22"/>
          <w:szCs w:val="22"/>
          <w:lang w:eastAsia="en-US"/>
        </w:rPr>
        <w:t>. Jakarta: Kencana Prenada Media Group.</w:t>
      </w:r>
    </w:p>
    <w:p w14:paraId="0C97511A"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Ulfah, Siti Ariani, and Raihanah Raihanah. 2023. “Problematika Pembelajaran Tajwid Tahsin Lembaga Pengajian dan Pengkajian Al-Qur’an (LPPQ) UIN Antasari Banjarmasin.” </w:t>
      </w:r>
      <w:r w:rsidRPr="00980BB2">
        <w:rPr>
          <w:rFonts w:eastAsia="Calibri"/>
          <w:i/>
          <w:iCs/>
          <w:noProof/>
          <w:sz w:val="22"/>
          <w:szCs w:val="22"/>
          <w:lang w:eastAsia="en-US"/>
        </w:rPr>
        <w:t>Al Qalam: Jurnal Ilmiah Keagamaan dan Kemasyarakatan</w:t>
      </w:r>
      <w:r w:rsidRPr="00980BB2">
        <w:rPr>
          <w:rFonts w:eastAsia="Calibri"/>
          <w:noProof/>
          <w:sz w:val="22"/>
          <w:szCs w:val="22"/>
          <w:lang w:eastAsia="en-US"/>
        </w:rPr>
        <w:t xml:space="preserve"> 17 (6): 4251–60. https://doi.org/10.35931/aq.v17i6.2225.</w:t>
      </w:r>
    </w:p>
    <w:p w14:paraId="240F0C4B"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Waslah, Waslah, Chusnul Chotimah, and Faridatul Hasanah. 2020. “Pelatihan Pembelajaran Tajwid di TPQ Al Hidayah Desa Brodot Jombang.” </w:t>
      </w:r>
      <w:r w:rsidRPr="00980BB2">
        <w:rPr>
          <w:rFonts w:eastAsia="Calibri"/>
          <w:i/>
          <w:iCs/>
          <w:noProof/>
          <w:sz w:val="22"/>
          <w:szCs w:val="22"/>
          <w:lang w:eastAsia="en-US"/>
        </w:rPr>
        <w:t>Jumat Keagamaan: Jurnal Pengabdian Masyarakat</w:t>
      </w:r>
      <w:r w:rsidRPr="00980BB2">
        <w:rPr>
          <w:rFonts w:eastAsia="Calibri"/>
          <w:noProof/>
          <w:sz w:val="22"/>
          <w:szCs w:val="22"/>
          <w:lang w:eastAsia="en-US"/>
        </w:rPr>
        <w:t xml:space="preserve"> 1 (1): 21–24. https://ejournal.unwaha.ac.id/index.php/abdimas_agama/article/view/1062.</w:t>
      </w:r>
    </w:p>
    <w:p w14:paraId="70575569"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Winarto, Winarto, Ahmad Syahid, and Fatimah Saguni. 2020. “Effectiveness the Use of Audio-visual Media in Teaching Islamic Religious Education.” </w:t>
      </w:r>
      <w:r w:rsidRPr="00980BB2">
        <w:rPr>
          <w:rFonts w:eastAsia="Calibri"/>
          <w:i/>
          <w:iCs/>
          <w:noProof/>
          <w:sz w:val="22"/>
          <w:szCs w:val="22"/>
          <w:lang w:eastAsia="en-US"/>
        </w:rPr>
        <w:t>International Journal of Contemporary Islamic Education</w:t>
      </w:r>
      <w:r w:rsidRPr="00980BB2">
        <w:rPr>
          <w:rFonts w:eastAsia="Calibri"/>
          <w:noProof/>
          <w:sz w:val="22"/>
          <w:szCs w:val="22"/>
          <w:lang w:eastAsia="en-US"/>
        </w:rPr>
        <w:t xml:space="preserve"> 2 (1): 81–107. http://www.ijcied.org/index.php/ijcied/article/view/14.</w:t>
      </w:r>
    </w:p>
    <w:p w14:paraId="617497E0"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t xml:space="preserve">Yulisna, Yulisna, Hendri Ikhwansyah, Nur Asnah, Istimiranti Istimiranti, Nursinpelna Nursinpelna, and Aprisal Aprisal. 2022. “Peningkatan Hasil Belajar Tajwid Peserta Didik Melalui Media Audio-visual di SMA.” </w:t>
      </w:r>
      <w:r w:rsidRPr="00980BB2">
        <w:rPr>
          <w:rFonts w:eastAsia="Calibri"/>
          <w:i/>
          <w:iCs/>
          <w:noProof/>
          <w:sz w:val="22"/>
          <w:szCs w:val="22"/>
          <w:lang w:eastAsia="en-US"/>
        </w:rPr>
        <w:t>Sulawesi Tenggara Educational Journal</w:t>
      </w:r>
      <w:r w:rsidRPr="00980BB2">
        <w:rPr>
          <w:rFonts w:eastAsia="Calibri"/>
          <w:noProof/>
          <w:sz w:val="22"/>
          <w:szCs w:val="22"/>
          <w:lang w:eastAsia="en-US"/>
        </w:rPr>
        <w:t xml:space="preserve"> 2 (3): 237–41. https://doi.org/http://jurnal-unsultra.ac.id/index.php/seduj/article/view/422.</w:t>
      </w:r>
    </w:p>
    <w:p w14:paraId="2B5BDA44" w14:textId="77777777" w:rsidR="00E478FA" w:rsidRDefault="00E478FA" w:rsidP="00980BB2">
      <w:pPr>
        <w:widowControl w:val="0"/>
        <w:suppressAutoHyphens w:val="0"/>
        <w:autoSpaceDE w:val="0"/>
        <w:autoSpaceDN w:val="0"/>
        <w:adjustRightInd w:val="0"/>
        <w:spacing w:before="60"/>
        <w:ind w:left="480" w:hanging="480"/>
        <w:rPr>
          <w:rFonts w:eastAsia="Calibri"/>
          <w:noProof/>
          <w:sz w:val="22"/>
          <w:szCs w:val="22"/>
          <w:lang w:eastAsia="en-US"/>
        </w:rPr>
      </w:pPr>
    </w:p>
    <w:p w14:paraId="5CD90B84" w14:textId="77777777" w:rsidR="00E478FA" w:rsidRDefault="00E478FA" w:rsidP="00980BB2">
      <w:pPr>
        <w:widowControl w:val="0"/>
        <w:suppressAutoHyphens w:val="0"/>
        <w:autoSpaceDE w:val="0"/>
        <w:autoSpaceDN w:val="0"/>
        <w:adjustRightInd w:val="0"/>
        <w:spacing w:before="60"/>
        <w:ind w:left="480" w:hanging="480"/>
        <w:rPr>
          <w:rFonts w:eastAsia="Calibri"/>
          <w:noProof/>
          <w:sz w:val="22"/>
          <w:szCs w:val="22"/>
          <w:lang w:eastAsia="en-US"/>
        </w:rPr>
      </w:pPr>
    </w:p>
    <w:p w14:paraId="50F35A98" w14:textId="7DD12DDA" w:rsidR="00980BB2" w:rsidRPr="00980BB2" w:rsidRDefault="00980BB2" w:rsidP="00980BB2">
      <w:pPr>
        <w:widowControl w:val="0"/>
        <w:suppressAutoHyphens w:val="0"/>
        <w:autoSpaceDE w:val="0"/>
        <w:autoSpaceDN w:val="0"/>
        <w:adjustRightInd w:val="0"/>
        <w:spacing w:before="60"/>
        <w:ind w:left="480" w:hanging="480"/>
        <w:rPr>
          <w:rFonts w:eastAsia="Calibri"/>
          <w:noProof/>
          <w:sz w:val="22"/>
          <w:szCs w:val="22"/>
          <w:lang w:eastAsia="en-US"/>
        </w:rPr>
      </w:pPr>
      <w:r w:rsidRPr="00980BB2">
        <w:rPr>
          <w:rFonts w:eastAsia="Calibri"/>
          <w:noProof/>
          <w:sz w:val="22"/>
          <w:szCs w:val="22"/>
          <w:lang w:eastAsia="en-US"/>
        </w:rPr>
        <w:lastRenderedPageBreak/>
        <w:t xml:space="preserve">Yusnanto, Tri, Khoirul Mustofa, Sugeng Wahyudiono, Uwe Barroso, and Gergely Maja. 2023. “Design and Build Learning Media to Read and Write Al-Qur’an Flash-Based.” </w:t>
      </w:r>
      <w:r w:rsidRPr="00980BB2">
        <w:rPr>
          <w:rFonts w:eastAsia="Calibri"/>
          <w:i/>
          <w:iCs/>
          <w:noProof/>
          <w:sz w:val="22"/>
          <w:szCs w:val="22"/>
          <w:lang w:eastAsia="en-US"/>
        </w:rPr>
        <w:t>Journal Neosantara Hybrid Learning</w:t>
      </w:r>
      <w:r w:rsidRPr="00980BB2">
        <w:rPr>
          <w:rFonts w:eastAsia="Calibri"/>
          <w:noProof/>
          <w:sz w:val="22"/>
          <w:szCs w:val="22"/>
          <w:lang w:eastAsia="en-US"/>
        </w:rPr>
        <w:t xml:space="preserve"> 1 (2): 129–39. https://doi.org/10.55849/jnhl.v1i2.101.</w:t>
      </w:r>
    </w:p>
    <w:p w14:paraId="22E75A7A" w14:textId="77777777" w:rsidR="00980BB2" w:rsidRPr="00980BB2" w:rsidRDefault="00980BB2" w:rsidP="00980BB2">
      <w:pPr>
        <w:widowControl w:val="0"/>
        <w:suppressAutoHyphens w:val="0"/>
        <w:autoSpaceDE w:val="0"/>
        <w:autoSpaceDN w:val="0"/>
        <w:adjustRightInd w:val="0"/>
        <w:spacing w:before="60"/>
        <w:ind w:left="480" w:hanging="480"/>
        <w:rPr>
          <w:rFonts w:eastAsia="Calibri"/>
          <w:noProof/>
          <w:szCs w:val="22"/>
          <w:lang w:eastAsia="en-US"/>
        </w:rPr>
      </w:pPr>
      <w:r w:rsidRPr="00980BB2">
        <w:rPr>
          <w:rFonts w:eastAsia="Calibri"/>
          <w:noProof/>
          <w:sz w:val="22"/>
          <w:szCs w:val="22"/>
          <w:lang w:eastAsia="en-US"/>
        </w:rPr>
        <w:t xml:space="preserve">Zhang, Lei, Hui Zhang, and Kai Wang. 2020. “Media Literacy Education and Curriculum Integration: A Literature Review.” </w:t>
      </w:r>
      <w:r w:rsidRPr="00980BB2">
        <w:rPr>
          <w:rFonts w:eastAsia="Calibri"/>
          <w:i/>
          <w:iCs/>
          <w:noProof/>
          <w:sz w:val="22"/>
          <w:szCs w:val="22"/>
          <w:lang w:eastAsia="en-US"/>
        </w:rPr>
        <w:t>International Journal of Contemporary Education</w:t>
      </w:r>
      <w:r w:rsidRPr="00980BB2">
        <w:rPr>
          <w:rFonts w:eastAsia="Calibri"/>
          <w:noProof/>
          <w:sz w:val="22"/>
          <w:szCs w:val="22"/>
          <w:lang w:eastAsia="en-US"/>
        </w:rPr>
        <w:t xml:space="preserve"> 3 (1): 55–64. https://doi.org/10.11114/ijce.v3i1.4769.</w:t>
      </w:r>
    </w:p>
    <w:p w14:paraId="46485759" w14:textId="2086CB52" w:rsidR="00980BB2" w:rsidRDefault="00980BB2" w:rsidP="00980BB2">
      <w:pPr>
        <w:autoSpaceDE w:val="0"/>
        <w:autoSpaceDN w:val="0"/>
        <w:adjustRightInd w:val="0"/>
        <w:spacing w:line="276" w:lineRule="auto"/>
        <w:ind w:firstLine="720"/>
        <w:jc w:val="both"/>
        <w:rPr>
          <w:lang w:eastAsia="en-US"/>
        </w:rPr>
      </w:pPr>
      <w:r w:rsidRPr="00980BB2">
        <w:rPr>
          <w:rFonts w:eastAsia="Calibri"/>
          <w:lang w:val="id-ID" w:eastAsia="en-US"/>
        </w:rPr>
        <w:fldChar w:fldCharType="end"/>
      </w:r>
    </w:p>
    <w:sectPr w:rsidR="00980BB2" w:rsidSect="00E13362">
      <w:headerReference w:type="even" r:id="rId10"/>
      <w:headerReference w:type="default" r:id="rId11"/>
      <w:footerReference w:type="even" r:id="rId12"/>
      <w:footerReference w:type="default" r:id="rId13"/>
      <w:headerReference w:type="first" r:id="rId14"/>
      <w:footerReference w:type="first" r:id="rId15"/>
      <w:footnotePr>
        <w:pos w:val="beneathText"/>
      </w:footnotePr>
      <w:type w:val="continuous"/>
      <w:pgSz w:w="11905" w:h="16837"/>
      <w:pgMar w:top="1701" w:right="1418" w:bottom="1701" w:left="1418" w:header="851" w:footer="851" w:gutter="0"/>
      <w:pgNumType w:start="47"/>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37FA3" w14:textId="77777777" w:rsidR="00076D56" w:rsidRDefault="00076D56" w:rsidP="004E422B">
      <w:r>
        <w:separator/>
      </w:r>
    </w:p>
  </w:endnote>
  <w:endnote w:type="continuationSeparator" w:id="0">
    <w:p w14:paraId="5A070927" w14:textId="77777777" w:rsidR="00076D56" w:rsidRDefault="00076D56"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charset w:val="00"/>
    <w:family w:val="roman"/>
    <w:pitch w:val="default"/>
    <w:sig w:usb0="00000003" w:usb1="00000000" w:usb2="00000000" w:usb3="00000000" w:csb0="00000001" w:csb1="00000000"/>
  </w:font>
  <w:font w:name="HAMEHF+TimesNew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7391E" w14:textId="2BFE58DC"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F75327">
      <w:rPr>
        <w:rFonts w:ascii="Lucida Bright" w:hAnsi="Lucida Bright"/>
        <w:sz w:val="20"/>
        <w:szCs w:val="20"/>
      </w:rPr>
      <w:t>6</w:t>
    </w:r>
    <w:r w:rsidR="00E417FB" w:rsidRPr="000C3BAA">
      <w:rPr>
        <w:rFonts w:ascii="Lucida Bright" w:hAnsi="Lucida Bright"/>
        <w:sz w:val="20"/>
        <w:szCs w:val="20"/>
      </w:rPr>
      <w:t xml:space="preserve">, No. </w:t>
    </w:r>
    <w:r w:rsidR="00F75327">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w:t>
    </w:r>
    <w:r w:rsidR="00F75327">
      <w:rPr>
        <w:rFonts w:ascii="Lucida Bright" w:hAnsi="Lucida Bright"/>
        <w:sz w:val="20"/>
        <w:szCs w:val="20"/>
      </w:rPr>
      <w:t>4</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ADAA3" w14:textId="48421C0A"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F75327">
      <w:rPr>
        <w:rFonts w:ascii="Lucida Bright" w:hAnsi="Lucida Bright"/>
        <w:sz w:val="20"/>
        <w:szCs w:val="20"/>
      </w:rPr>
      <w:t>6</w:t>
    </w:r>
    <w:r w:rsidR="00E417FB" w:rsidRPr="000C3BAA">
      <w:rPr>
        <w:rFonts w:ascii="Lucida Bright" w:hAnsi="Lucida Bright"/>
        <w:sz w:val="20"/>
        <w:szCs w:val="20"/>
      </w:rPr>
      <w:t xml:space="preserve">, No. </w:t>
    </w:r>
    <w:r w:rsidR="00F75327">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w:t>
    </w:r>
    <w:r w:rsidR="00F75327">
      <w:rPr>
        <w:rFonts w:ascii="Lucida Bright" w:hAnsi="Lucida Bright"/>
        <w:sz w:val="20"/>
        <w:szCs w:val="20"/>
      </w:rPr>
      <w:t>4</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4A806" w14:textId="2649BCE7" w:rsidR="001E6AF2" w:rsidRPr="005B6048" w:rsidRDefault="001E6AF2" w:rsidP="001E6AF2">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w:t>
    </w:r>
    <w:r w:rsidR="00CB6911" w:rsidRPr="005B6048">
      <w:rPr>
        <w:rFonts w:ascii="Lucida Bright" w:hAnsi="Lucida Bright" w:cs="Arial"/>
        <w:sz w:val="18"/>
        <w:szCs w:val="18"/>
      </w:rPr>
      <w:t>STAI</w:t>
    </w:r>
    <w:r w:rsidRPr="005B6048">
      <w:rPr>
        <w:rFonts w:ascii="Lucida Bright" w:hAnsi="Lucida Bright" w:cs="Arial"/>
        <w:sz w:val="18"/>
        <w:szCs w:val="18"/>
      </w:rPr>
      <w:t xml:space="preserve">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w:t>
    </w:r>
    <w:r w:rsidR="00CB6911" w:rsidRPr="005B6048">
      <w:rPr>
        <w:rFonts w:ascii="Lucida Bright" w:hAnsi="Lucida Bright" w:cs="Arial"/>
        <w:sz w:val="18"/>
        <w:szCs w:val="18"/>
      </w:rPr>
      <w:t>MTs</w:t>
    </w:r>
    <w:r w:rsidRPr="005B6048">
      <w:rPr>
        <w:rFonts w:ascii="Lucida Bright" w:hAnsi="Lucida Bright" w:cs="Arial"/>
        <w:sz w:val="18"/>
        <w:szCs w:val="18"/>
      </w:rPr>
      <w:t xml:space="preserve"> DDI Cilellang</w:t>
    </w:r>
  </w:p>
  <w:p w14:paraId="4EFE46D7" w14:textId="3FF67364" w:rsidR="004017BF" w:rsidRDefault="00F47BE9" w:rsidP="001E6AF2">
    <w:pPr>
      <w:spacing w:line="0" w:lineRule="atLeast"/>
      <w:ind w:left="20"/>
      <w:jc w:val="center"/>
      <w:rPr>
        <w:rFonts w:cs="Arial"/>
        <w:sz w:val="20"/>
        <w:szCs w:val="20"/>
      </w:rPr>
    </w:pPr>
    <w:r w:rsidRPr="005B6048">
      <w:rPr>
        <w:rFonts w:ascii="Lucida Bright" w:hAnsi="Lucida Bright" w:cs="Arial"/>
        <w:sz w:val="18"/>
        <w:szCs w:val="18"/>
      </w:rPr>
      <w:t>© 20</w:t>
    </w:r>
    <w:r w:rsidR="004017BF" w:rsidRPr="005B6048">
      <w:rPr>
        <w:rFonts w:ascii="Lucida Bright" w:hAnsi="Lucida Bright" w:cs="Arial"/>
        <w:sz w:val="18"/>
        <w:szCs w:val="18"/>
      </w:rPr>
      <w:t>2</w:t>
    </w:r>
    <w:r w:rsidR="00EB70D9">
      <w:rPr>
        <w:rFonts w:ascii="Lucida Bright" w:hAnsi="Lucida Bright" w:cs="Arial"/>
        <w:sz w:val="18"/>
        <w:szCs w:val="18"/>
      </w:rPr>
      <w:t>4</w:t>
    </w:r>
    <w:r w:rsidRPr="005B6048">
      <w:rPr>
        <w:rFonts w:ascii="Lucida Bright" w:hAnsi="Lucida Bright" w:cs="Arial"/>
        <w:sz w:val="18"/>
        <w:szCs w:val="18"/>
      </w:rPr>
      <w:t xml:space="preserve"> </w:t>
    </w:r>
    <w:r w:rsidR="00723147" w:rsidRPr="005B6048">
      <w:rPr>
        <w:rFonts w:ascii="Lucida Bright" w:hAnsi="Lucida Bright" w:cs="Arial"/>
        <w:sz w:val="18"/>
        <w:szCs w:val="18"/>
      </w:rPr>
      <w:t>Al-Musannif</w:t>
    </w:r>
    <w:r w:rsidR="00081245" w:rsidRPr="005B6048">
      <w:rPr>
        <w:rFonts w:ascii="Lucida Bright" w:hAnsi="Lucida Bright" w:cs="Arial"/>
        <w:sz w:val="18"/>
        <w:szCs w:val="18"/>
      </w:rPr>
      <w:t xml:space="preserve"> </w:t>
    </w:r>
    <w:r w:rsidR="00081245" w:rsidRPr="005B6048">
      <w:rPr>
        <w:rFonts w:ascii="Lucida Bright" w:hAnsi="Lucida Bright" w:cs="Arial"/>
        <w:sz w:val="22"/>
        <w:szCs w:val="22"/>
      </w:rPr>
      <w:t>|</w:t>
    </w:r>
    <w:r w:rsidR="00081245" w:rsidRPr="005B6048">
      <w:rPr>
        <w:rFonts w:ascii="Lucida Bright" w:hAnsi="Lucida Bright" w:cs="Arial"/>
        <w:b/>
        <w:bCs/>
        <w:sz w:val="18"/>
        <w:szCs w:val="18"/>
      </w:rPr>
      <w:t xml:space="preserve"> </w:t>
    </w:r>
    <w:r w:rsidR="00081245" w:rsidRPr="005B6048">
      <w:rPr>
        <w:rFonts w:ascii="Lucida Bright" w:hAnsi="Lucida Bright" w:cs="Arial"/>
        <w:sz w:val="18"/>
        <w:szCs w:val="18"/>
      </w:rPr>
      <w:t xml:space="preserve">Licensed </w:t>
    </w:r>
    <w:r w:rsidR="00BC4A35" w:rsidRPr="005B6048">
      <w:rPr>
        <w:rFonts w:ascii="Lucida Bright" w:hAnsi="Lucida Bright" w:cs="Arial"/>
        <w:sz w:val="18"/>
        <w:szCs w:val="18"/>
      </w:rPr>
      <w:t>under </w:t>
    </w:r>
    <w:hyperlink r:id="rId1" w:history="1">
      <w:r w:rsidR="00986786" w:rsidRPr="005B6048">
        <w:rPr>
          <w:rFonts w:ascii="Lucida Bright" w:hAnsi="Lucida Bright" w:cs="Arial"/>
          <w:sz w:val="18"/>
          <w:szCs w:val="18"/>
        </w:rPr>
        <w:t>CC BY</w:t>
      </w:r>
      <w:r w:rsidR="00BC4A35" w:rsidRPr="005B6048">
        <w:rPr>
          <w:rFonts w:ascii="Lucida Bright" w:hAnsi="Lucida Bright" w:cs="Arial"/>
          <w:sz w:val="18"/>
          <w:szCs w:val="18"/>
        </w:rPr>
        <w:t xml:space="preserve"> 4.0</w:t>
      </w:r>
    </w:hyperlink>
  </w:p>
  <w:p w14:paraId="7459EAEF" w14:textId="77777777" w:rsidR="001E6AF2" w:rsidRPr="00082D66"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F75955" w14:textId="77777777" w:rsidR="00076D56" w:rsidRDefault="00076D56" w:rsidP="004E422B">
      <w:r>
        <w:separator/>
      </w:r>
    </w:p>
  </w:footnote>
  <w:footnote w:type="continuationSeparator" w:id="0">
    <w:p w14:paraId="7CEC2921" w14:textId="77777777" w:rsidR="00076D56" w:rsidRDefault="00076D56"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43D99" w14:textId="307C5FD0" w:rsidR="00E749D2" w:rsidRPr="000C3BAA" w:rsidRDefault="00E478FA" w:rsidP="00073287">
    <w:pPr>
      <w:pStyle w:val="Header"/>
      <w:pBdr>
        <w:bottom w:val="single" w:sz="8" w:space="1" w:color="538135"/>
      </w:pBdr>
      <w:tabs>
        <w:tab w:val="clear" w:pos="4680"/>
        <w:tab w:val="clear" w:pos="9360"/>
      </w:tabs>
      <w:jc w:val="center"/>
      <w:rPr>
        <w:rFonts w:ascii="Lucida Bright" w:hAnsi="Lucida Bright"/>
        <w:sz w:val="22"/>
        <w:szCs w:val="22"/>
      </w:rPr>
    </w:pPr>
    <w:r w:rsidRPr="00E478FA">
      <w:rPr>
        <w:rFonts w:ascii="Lucida Bright" w:hAnsi="Lucida Bright"/>
        <w:sz w:val="20"/>
        <w:szCs w:val="20"/>
      </w:rPr>
      <w:t>Application of Audio-Visual</w:t>
    </w:r>
    <w:r w:rsidR="00436E17" w:rsidRPr="00436E17">
      <w:rPr>
        <w:rFonts w:ascii="Lucida Bright" w:hAnsi="Lucida Bright"/>
        <w:sz w:val="20"/>
        <w:szCs w:val="20"/>
      </w:rPr>
      <w:t xml:space="preserve"> </w:t>
    </w:r>
    <w:r w:rsidR="002E7FC5" w:rsidRPr="000C3BAA">
      <w:rPr>
        <w:rFonts w:ascii="Lucida Bright" w:hAnsi="Lucida Bright"/>
        <w:sz w:val="22"/>
        <w:szCs w:val="22"/>
      </w:rPr>
      <w:t>…</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Pr="00E478FA">
      <w:rPr>
        <w:rFonts w:ascii="Lucida Bright" w:hAnsi="Lucida Bright"/>
        <w:sz w:val="20"/>
        <w:szCs w:val="20"/>
      </w:rPr>
      <w:t xml:space="preserve">A. Hamid, M.K.L. Abdullah, </w:t>
    </w:r>
    <w:r>
      <w:rPr>
        <w:rFonts w:ascii="Lucida Bright" w:hAnsi="Lucida Bright"/>
        <w:sz w:val="20"/>
        <w:szCs w:val="20"/>
      </w:rPr>
      <w:t xml:space="preserve">S.J. Amin, </w:t>
    </w:r>
    <w:r w:rsidRPr="00E478FA">
      <w:rPr>
        <w:rFonts w:ascii="Lucida Bright" w:hAnsi="Lucida Bright"/>
        <w:sz w:val="20"/>
        <w:szCs w:val="20"/>
      </w:rPr>
      <w:t xml:space="preserve">A. Halik, A. </w:t>
    </w:r>
    <w:proofErr w:type="spellStart"/>
    <w:r w:rsidRPr="00E478FA">
      <w:rPr>
        <w:rFonts w:ascii="Lucida Bright" w:hAnsi="Lucida Bright"/>
        <w:sz w:val="20"/>
        <w:szCs w:val="20"/>
      </w:rPr>
      <w:t>Ahdar</w:t>
    </w:r>
    <w:proofErr w:type="spellEnd"/>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4BFD3" w14:textId="4552662C" w:rsidR="00E749D2" w:rsidRPr="000C3BAA" w:rsidRDefault="00405830"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E478FA">
      <w:rPr>
        <w:rFonts w:ascii="Lucida Bright" w:hAnsi="Lucida Bright"/>
        <w:sz w:val="20"/>
        <w:szCs w:val="20"/>
      </w:rPr>
      <w:t>Application of Audio-Visual</w:t>
    </w:r>
    <w:r w:rsidRPr="00436E17">
      <w:rPr>
        <w:rFonts w:ascii="Lucida Bright" w:hAnsi="Lucida Bright"/>
        <w:sz w:val="20"/>
        <w:szCs w:val="20"/>
      </w:rPr>
      <w:t xml:space="preserve"> </w:t>
    </w:r>
    <w:r w:rsidRPr="000C3BAA">
      <w:rPr>
        <w:rFonts w:ascii="Lucida Bright" w:hAnsi="Lucida Bright"/>
        <w:sz w:val="22"/>
        <w:szCs w:val="22"/>
      </w:rPr>
      <w:t xml:space="preserve">… </w:t>
    </w:r>
    <w:r w:rsidRPr="000C3BAA">
      <w:rPr>
        <w:rFonts w:ascii="Lucida Bright" w:hAnsi="Lucida Bright"/>
      </w:rPr>
      <w:t>|</w:t>
    </w:r>
    <w:r w:rsidRPr="000C3BAA">
      <w:rPr>
        <w:rFonts w:ascii="Lucida Bright" w:hAnsi="Lucida Bright"/>
        <w:sz w:val="22"/>
        <w:szCs w:val="22"/>
      </w:rPr>
      <w:t xml:space="preserve"> </w:t>
    </w:r>
    <w:r w:rsidRPr="00E478FA">
      <w:rPr>
        <w:rFonts w:ascii="Lucida Bright" w:hAnsi="Lucida Bright"/>
        <w:sz w:val="20"/>
        <w:szCs w:val="20"/>
      </w:rPr>
      <w:t xml:space="preserve">A. Hamid, M.K.L. Abdullah, </w:t>
    </w:r>
    <w:r>
      <w:rPr>
        <w:rFonts w:ascii="Lucida Bright" w:hAnsi="Lucida Bright"/>
        <w:sz w:val="20"/>
        <w:szCs w:val="20"/>
      </w:rPr>
      <w:t xml:space="preserve">S.J. Amin, </w:t>
    </w:r>
    <w:r w:rsidRPr="00E478FA">
      <w:rPr>
        <w:rFonts w:ascii="Lucida Bright" w:hAnsi="Lucida Bright"/>
        <w:sz w:val="20"/>
        <w:szCs w:val="20"/>
      </w:rPr>
      <w:t xml:space="preserve">A. Halik, A. </w:t>
    </w:r>
    <w:proofErr w:type="spellStart"/>
    <w:r w:rsidRPr="00E478FA">
      <w:rPr>
        <w:rFonts w:ascii="Lucida Bright" w:hAnsi="Lucida Bright"/>
        <w:sz w:val="20"/>
        <w:szCs w:val="20"/>
      </w:rPr>
      <w:t>Ahdar</w:t>
    </w:r>
    <w:proofErr w:type="spellEnd"/>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54AB6" w14:textId="04137BE0" w:rsidR="000836AA" w:rsidRPr="00793B14"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2E05E7">
      <w:rPr>
        <w:rFonts w:ascii="Lucida Bright" w:hAnsi="Lucida Bright"/>
        <w:sz w:val="20"/>
        <w:szCs w:val="20"/>
      </w:rPr>
      <w:t>6</w:t>
    </w:r>
    <w:r w:rsidR="00016CA0" w:rsidRPr="00346913">
      <w:rPr>
        <w:rFonts w:ascii="Lucida Bright" w:hAnsi="Lucida Bright"/>
        <w:sz w:val="20"/>
        <w:szCs w:val="20"/>
      </w:rPr>
      <w:t xml:space="preserve">, No. </w:t>
    </w:r>
    <w:r w:rsidR="002E05E7">
      <w:rPr>
        <w:rFonts w:ascii="Lucida Bright" w:hAnsi="Lucida Bright"/>
        <w:sz w:val="20"/>
        <w:szCs w:val="20"/>
        <w:lang w:val="id-ID"/>
      </w:rPr>
      <w:t>1</w:t>
    </w:r>
    <w:r w:rsidR="00016CA0" w:rsidRPr="00346913">
      <w:rPr>
        <w:rFonts w:ascii="Lucida Bright" w:hAnsi="Lucida Bright"/>
        <w:sz w:val="20"/>
        <w:szCs w:val="20"/>
      </w:rPr>
      <w:t xml:space="preserve"> (</w:t>
    </w:r>
    <w:r w:rsidR="002E05E7">
      <w:rPr>
        <w:rFonts w:ascii="Lucida Bright" w:hAnsi="Lucida Bright"/>
        <w:sz w:val="20"/>
        <w:szCs w:val="20"/>
        <w:lang w:val="id-ID"/>
      </w:rPr>
      <w:t>June</w:t>
    </w:r>
    <w:r w:rsidR="00427427">
      <w:rPr>
        <w:rFonts w:ascii="Lucida Bright" w:hAnsi="Lucida Bright"/>
        <w:sz w:val="20"/>
        <w:szCs w:val="20"/>
      </w:rPr>
      <w:t xml:space="preserve"> </w:t>
    </w:r>
    <w:r w:rsidR="000B3032">
      <w:rPr>
        <w:rFonts w:ascii="Lucida Bright" w:hAnsi="Lucida Bright"/>
        <w:sz w:val="20"/>
        <w:szCs w:val="20"/>
      </w:rPr>
      <w:t>202</w:t>
    </w:r>
    <w:r w:rsidR="002E05E7">
      <w:rPr>
        <w:rFonts w:ascii="Lucida Bright" w:hAnsi="Lucida Bright"/>
        <w:sz w:val="20"/>
        <w:szCs w:val="20"/>
      </w:rPr>
      <w:t>4</w:t>
    </w:r>
    <w:r w:rsidR="00016CA0" w:rsidRPr="00346913">
      <w:rPr>
        <w:rFonts w:ascii="Lucida Bright" w:hAnsi="Lucida Bright"/>
        <w:sz w:val="20"/>
        <w:szCs w:val="20"/>
      </w:rPr>
      <w:t xml:space="preserve">): </w:t>
    </w:r>
    <w:r w:rsidR="00E13362">
      <w:rPr>
        <w:rFonts w:ascii="Lucida Bright" w:hAnsi="Lucida Bright"/>
        <w:sz w:val="20"/>
        <w:szCs w:val="20"/>
        <w:lang w:val="id-ID"/>
      </w:rPr>
      <w:t>47</w:t>
    </w:r>
    <w:r w:rsidR="00016CA0" w:rsidRPr="00346913">
      <w:rPr>
        <w:rFonts w:ascii="Lucida Bright" w:hAnsi="Lucida Bright"/>
        <w:sz w:val="20"/>
        <w:szCs w:val="20"/>
      </w:rPr>
      <w:t>–</w:t>
    </w:r>
    <w:r w:rsidR="00E13362">
      <w:rPr>
        <w:rFonts w:ascii="Lucida Bright" w:hAnsi="Lucida Bright"/>
        <w:sz w:val="20"/>
        <w:szCs w:val="20"/>
      </w:rPr>
      <w:t>56</w:t>
    </w:r>
    <w:r w:rsidR="008F1302" w:rsidRPr="00793B14">
      <w:rPr>
        <w:rFonts w:ascii="Lucida Bright" w:hAnsi="Lucida Bright"/>
        <w:sz w:val="22"/>
        <w:szCs w:val="22"/>
      </w:rPr>
      <w:tab/>
    </w:r>
    <w:r w:rsidR="008F1302" w:rsidRPr="00793B14">
      <w:rPr>
        <w:rFonts w:ascii="Lucida Bright" w:hAnsi="Lucida Bright"/>
        <w:sz w:val="20"/>
        <w:szCs w:val="20"/>
      </w:rPr>
      <w:t xml:space="preserve">p-ISSN </w:t>
    </w:r>
    <w:hyperlink r:id="rId1" w:tgtFrame="_blank" w:history="1">
      <w:r w:rsidR="008F1302" w:rsidRPr="00793B14">
        <w:rPr>
          <w:rFonts w:ascii="Lucida Bright" w:hAnsi="Lucida Bright"/>
          <w:sz w:val="20"/>
          <w:szCs w:val="20"/>
        </w:rPr>
        <w:t>2657-2362</w:t>
      </w:r>
    </w:hyperlink>
  </w:p>
  <w:p w14:paraId="75A9854F" w14:textId="2422AD1F" w:rsidR="000836AA" w:rsidRPr="00135EA4" w:rsidRDefault="00016CA0" w:rsidP="00135EA4">
    <w:pPr>
      <w:tabs>
        <w:tab w:val="right" w:pos="9069"/>
      </w:tabs>
      <w:rPr>
        <w:sz w:val="20"/>
        <w:szCs w:val="20"/>
      </w:rPr>
    </w:pPr>
    <w:r w:rsidRPr="00793B14">
      <w:rPr>
        <w:rFonts w:ascii="Lucida Bright" w:hAnsi="Lucida Bright"/>
        <w:sz w:val="20"/>
        <w:szCs w:val="20"/>
      </w:rPr>
      <w:t>DOI:</w:t>
    </w:r>
    <w:r w:rsidR="00793B14" w:rsidRPr="003C3950">
      <w:rPr>
        <w:rFonts w:ascii="Lucida Bright" w:hAnsi="Lucida Bright"/>
        <w:sz w:val="20"/>
        <w:szCs w:val="20"/>
      </w:rPr>
      <w:t xml:space="preserve"> </w:t>
    </w:r>
    <w:hyperlink r:id="rId2" w:history="1">
      <w:r w:rsidR="00626DF2" w:rsidRPr="00626DF2">
        <w:rPr>
          <w:rStyle w:val="Hyperlink"/>
          <w:rFonts w:ascii="Lucida Bright" w:hAnsi="Lucida Bright"/>
          <w:color w:val="auto"/>
          <w:sz w:val="20"/>
          <w:szCs w:val="20"/>
          <w:u w:val="none"/>
        </w:rPr>
        <w:t>https://doi.org/10.56324/al-musannif.v6i</w:t>
      </w:r>
      <w:r w:rsidR="00626DF2" w:rsidRPr="00626DF2">
        <w:rPr>
          <w:rStyle w:val="Hyperlink"/>
          <w:rFonts w:ascii="Lucida Bright" w:hAnsi="Lucida Bright"/>
          <w:color w:val="auto"/>
          <w:sz w:val="20"/>
          <w:szCs w:val="20"/>
          <w:u w:val="none"/>
          <w:lang w:val="id-ID"/>
        </w:rPr>
        <w:t>1</w:t>
      </w:r>
      <w:r w:rsidR="00626DF2" w:rsidRPr="00626DF2">
        <w:rPr>
          <w:rStyle w:val="Hyperlink"/>
          <w:rFonts w:ascii="Lucida Bright" w:hAnsi="Lucida Bright"/>
          <w:color w:val="auto"/>
          <w:sz w:val="20"/>
          <w:szCs w:val="20"/>
          <w:u w:val="none"/>
        </w:rPr>
        <w:t>.</w:t>
      </w:r>
      <w:r w:rsidR="00626DF2" w:rsidRPr="00626DF2">
        <w:rPr>
          <w:rStyle w:val="Hyperlink"/>
          <w:rFonts w:ascii="Lucida Bright" w:hAnsi="Lucida Bright"/>
          <w:color w:val="auto"/>
          <w:sz w:val="20"/>
          <w:szCs w:val="20"/>
          <w:u w:val="none"/>
          <w:lang w:val="id-ID"/>
        </w:rPr>
        <w:t>112</w:t>
      </w:r>
    </w:hyperlink>
    <w:r w:rsidR="003C7131" w:rsidRPr="00626DF2">
      <w:rPr>
        <w:rStyle w:val="Hyperlink"/>
        <w:color w:val="auto"/>
        <w:u w:val="none"/>
      </w:rPr>
      <w:t xml:space="preserve"> </w:t>
    </w:r>
    <w:r w:rsidR="008F1302" w:rsidRPr="001519D6">
      <w:rPr>
        <w:sz w:val="20"/>
        <w:szCs w:val="20"/>
      </w:rPr>
      <w:tab/>
    </w:r>
    <w:r w:rsidR="008F1302" w:rsidRPr="001519D6">
      <w:rPr>
        <w:rFonts w:ascii="Lucida Bright" w:hAnsi="Lucida Bright"/>
        <w:sz w:val="20"/>
        <w:szCs w:val="20"/>
      </w:rPr>
      <w:t xml:space="preserve">e-ISSN </w:t>
    </w:r>
    <w:hyperlink r:id="rId3" w:tgtFrame="_blank" w:history="1">
      <w:r w:rsidR="008F1302" w:rsidRPr="001519D6">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252D"/>
    <w:multiLevelType w:val="hybridMultilevel"/>
    <w:tmpl w:val="DC286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3B55D32"/>
    <w:multiLevelType w:val="hybridMultilevel"/>
    <w:tmpl w:val="FDB0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137C0"/>
    <w:multiLevelType w:val="hybridMultilevel"/>
    <w:tmpl w:val="97505D7E"/>
    <w:lvl w:ilvl="0" w:tplc="0A8293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DAC2529"/>
    <w:multiLevelType w:val="hybridMultilevel"/>
    <w:tmpl w:val="202EDB8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C567A5"/>
    <w:multiLevelType w:val="hybridMultilevel"/>
    <w:tmpl w:val="0EEE202C"/>
    <w:lvl w:ilvl="0" w:tplc="179AC50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15:restartNumberingAfterBreak="0">
    <w:nsid w:val="1913229A"/>
    <w:multiLevelType w:val="hybridMultilevel"/>
    <w:tmpl w:val="517A5068"/>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2F9C2849"/>
    <w:multiLevelType w:val="hybridMultilevel"/>
    <w:tmpl w:val="65A6FE5C"/>
    <w:lvl w:ilvl="0" w:tplc="D6BA5F5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7" w15:restartNumberingAfterBreak="0">
    <w:nsid w:val="3191387D"/>
    <w:multiLevelType w:val="hybridMultilevel"/>
    <w:tmpl w:val="38FA2392"/>
    <w:lvl w:ilvl="0" w:tplc="04090001">
      <w:start w:val="1"/>
      <w:numFmt w:val="bullet"/>
      <w:lvlText w:val=""/>
      <w:lvlJc w:val="left"/>
      <w:pPr>
        <w:ind w:left="1494" w:hanging="360"/>
      </w:pPr>
      <w:rPr>
        <w:rFonts w:ascii="Symbol" w:hAnsi="Symbol" w:hint="default"/>
      </w:rPr>
    </w:lvl>
    <w:lvl w:ilvl="1" w:tplc="04090001">
      <w:start w:val="1"/>
      <w:numFmt w:val="bullet"/>
      <w:lvlText w:val=""/>
      <w:lvlJc w:val="left"/>
      <w:pPr>
        <w:ind w:left="2214" w:hanging="360"/>
      </w:pPr>
      <w:rPr>
        <w:rFonts w:ascii="Symbol" w:hAnsi="Symbol"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 w15:restartNumberingAfterBreak="0">
    <w:nsid w:val="35CB5F9B"/>
    <w:multiLevelType w:val="hybridMultilevel"/>
    <w:tmpl w:val="360E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A266D"/>
    <w:multiLevelType w:val="hybridMultilevel"/>
    <w:tmpl w:val="03FAD0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B9138F"/>
    <w:multiLevelType w:val="hybridMultilevel"/>
    <w:tmpl w:val="560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E7C0A"/>
    <w:multiLevelType w:val="hybridMultilevel"/>
    <w:tmpl w:val="32AE82CA"/>
    <w:lvl w:ilvl="0" w:tplc="9F40D648">
      <w:start w:val="1"/>
      <w:numFmt w:val="lowerLetter"/>
      <w:lvlText w:val="%1)"/>
      <w:lvlJc w:val="left"/>
      <w:pPr>
        <w:ind w:left="1494" w:hanging="360"/>
      </w:pPr>
      <w:rPr>
        <w:rFonts w:hint="default"/>
      </w:rPr>
    </w:lvl>
    <w:lvl w:ilvl="1" w:tplc="2708B95A">
      <w:numFmt w:val="bullet"/>
      <w:lvlText w:val="•"/>
      <w:lvlJc w:val="left"/>
      <w:pPr>
        <w:ind w:left="2679" w:hanging="825"/>
      </w:pPr>
      <w:rPr>
        <w:rFonts w:ascii="Candara" w:eastAsia="Times New Roman" w:hAnsi="Candara" w:cs="Times New Roman" w:hint="default"/>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46DE65A3"/>
    <w:multiLevelType w:val="hybridMultilevel"/>
    <w:tmpl w:val="A2C61C0C"/>
    <w:lvl w:ilvl="0" w:tplc="203CF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606169"/>
    <w:multiLevelType w:val="hybridMultilevel"/>
    <w:tmpl w:val="812CEA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64851139"/>
    <w:multiLevelType w:val="hybridMultilevel"/>
    <w:tmpl w:val="F96E7E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6534437D"/>
    <w:multiLevelType w:val="hybridMultilevel"/>
    <w:tmpl w:val="C7884C82"/>
    <w:lvl w:ilvl="0" w:tplc="A57E3BA6">
      <w:start w:val="1"/>
      <w:numFmt w:val="bullet"/>
      <w:lvlText w:val="-"/>
      <w:lvlJc w:val="left"/>
      <w:pPr>
        <w:ind w:left="785" w:hanging="360"/>
      </w:pPr>
      <w:rPr>
        <w:rFonts w:ascii="Candara" w:eastAsia="Times New Roman" w:hAnsi="Candara"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6" w15:restartNumberingAfterBreak="0">
    <w:nsid w:val="691636D1"/>
    <w:multiLevelType w:val="hybridMultilevel"/>
    <w:tmpl w:val="5BB0DF06"/>
    <w:lvl w:ilvl="0" w:tplc="45F67CA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18934703">
    <w:abstractNumId w:val="3"/>
  </w:num>
  <w:num w:numId="2" w16cid:durableId="294912620">
    <w:abstractNumId w:val="5"/>
  </w:num>
  <w:num w:numId="3" w16cid:durableId="2139256098">
    <w:abstractNumId w:val="9"/>
  </w:num>
  <w:num w:numId="4" w16cid:durableId="1808890307">
    <w:abstractNumId w:val="2"/>
  </w:num>
  <w:num w:numId="5" w16cid:durableId="94525655">
    <w:abstractNumId w:val="1"/>
  </w:num>
  <w:num w:numId="6" w16cid:durableId="194001852">
    <w:abstractNumId w:val="11"/>
  </w:num>
  <w:num w:numId="7" w16cid:durableId="1507359725">
    <w:abstractNumId w:val="7"/>
  </w:num>
  <w:num w:numId="8" w16cid:durableId="16660728">
    <w:abstractNumId w:val="6"/>
  </w:num>
  <w:num w:numId="9" w16cid:durableId="1177159857">
    <w:abstractNumId w:val="10"/>
  </w:num>
  <w:num w:numId="10" w16cid:durableId="638922549">
    <w:abstractNumId w:val="15"/>
  </w:num>
  <w:num w:numId="11" w16cid:durableId="978147823">
    <w:abstractNumId w:val="8"/>
  </w:num>
  <w:num w:numId="12" w16cid:durableId="396250910">
    <w:abstractNumId w:val="4"/>
  </w:num>
  <w:num w:numId="13" w16cid:durableId="1816023952">
    <w:abstractNumId w:val="12"/>
  </w:num>
  <w:num w:numId="14" w16cid:durableId="639388394">
    <w:abstractNumId w:val="16"/>
  </w:num>
  <w:num w:numId="15" w16cid:durableId="20649369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472356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30723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AD2"/>
    <w:rsid w:val="0000218D"/>
    <w:rsid w:val="00003109"/>
    <w:rsid w:val="000047F6"/>
    <w:rsid w:val="00004D7A"/>
    <w:rsid w:val="00005613"/>
    <w:rsid w:val="0000673E"/>
    <w:rsid w:val="00007A9C"/>
    <w:rsid w:val="0001010B"/>
    <w:rsid w:val="0001020A"/>
    <w:rsid w:val="00010E69"/>
    <w:rsid w:val="000130A0"/>
    <w:rsid w:val="000131F4"/>
    <w:rsid w:val="000151C0"/>
    <w:rsid w:val="00015256"/>
    <w:rsid w:val="00016CA0"/>
    <w:rsid w:val="00017372"/>
    <w:rsid w:val="00017387"/>
    <w:rsid w:val="00017A34"/>
    <w:rsid w:val="00021E58"/>
    <w:rsid w:val="00023004"/>
    <w:rsid w:val="00023195"/>
    <w:rsid w:val="0002378E"/>
    <w:rsid w:val="00027427"/>
    <w:rsid w:val="00030503"/>
    <w:rsid w:val="00030927"/>
    <w:rsid w:val="000316BC"/>
    <w:rsid w:val="00033A79"/>
    <w:rsid w:val="00033BC6"/>
    <w:rsid w:val="00034757"/>
    <w:rsid w:val="00034AAB"/>
    <w:rsid w:val="00034B7A"/>
    <w:rsid w:val="00036ACD"/>
    <w:rsid w:val="00040C06"/>
    <w:rsid w:val="000419F9"/>
    <w:rsid w:val="00041D84"/>
    <w:rsid w:val="000428B5"/>
    <w:rsid w:val="0004527F"/>
    <w:rsid w:val="00045786"/>
    <w:rsid w:val="0004787B"/>
    <w:rsid w:val="0005136F"/>
    <w:rsid w:val="000517D4"/>
    <w:rsid w:val="00051BA8"/>
    <w:rsid w:val="00051FB4"/>
    <w:rsid w:val="0005446A"/>
    <w:rsid w:val="0005463A"/>
    <w:rsid w:val="00055D71"/>
    <w:rsid w:val="0005684B"/>
    <w:rsid w:val="000571A6"/>
    <w:rsid w:val="00057201"/>
    <w:rsid w:val="00060519"/>
    <w:rsid w:val="00061C51"/>
    <w:rsid w:val="0006267A"/>
    <w:rsid w:val="00063CDC"/>
    <w:rsid w:val="00063DDE"/>
    <w:rsid w:val="00064D54"/>
    <w:rsid w:val="00065C31"/>
    <w:rsid w:val="00067AF9"/>
    <w:rsid w:val="000709E5"/>
    <w:rsid w:val="000718B1"/>
    <w:rsid w:val="00071A81"/>
    <w:rsid w:val="00071BEA"/>
    <w:rsid w:val="00071E2D"/>
    <w:rsid w:val="00072485"/>
    <w:rsid w:val="000725B9"/>
    <w:rsid w:val="00072959"/>
    <w:rsid w:val="00073287"/>
    <w:rsid w:val="000735A8"/>
    <w:rsid w:val="00073631"/>
    <w:rsid w:val="00073DC3"/>
    <w:rsid w:val="00073DCA"/>
    <w:rsid w:val="000743C9"/>
    <w:rsid w:val="00075DC8"/>
    <w:rsid w:val="00076D56"/>
    <w:rsid w:val="00077C1A"/>
    <w:rsid w:val="00080A98"/>
    <w:rsid w:val="00080C54"/>
    <w:rsid w:val="00081245"/>
    <w:rsid w:val="0008177E"/>
    <w:rsid w:val="00081ED4"/>
    <w:rsid w:val="000824BC"/>
    <w:rsid w:val="00082CD4"/>
    <w:rsid w:val="00082D66"/>
    <w:rsid w:val="000836AA"/>
    <w:rsid w:val="000839D0"/>
    <w:rsid w:val="00084050"/>
    <w:rsid w:val="00084942"/>
    <w:rsid w:val="00084FED"/>
    <w:rsid w:val="000857C1"/>
    <w:rsid w:val="00086DF0"/>
    <w:rsid w:val="00086EC5"/>
    <w:rsid w:val="00090D77"/>
    <w:rsid w:val="00091C2A"/>
    <w:rsid w:val="0009323C"/>
    <w:rsid w:val="00093F96"/>
    <w:rsid w:val="0009749F"/>
    <w:rsid w:val="000979B4"/>
    <w:rsid w:val="00097E2E"/>
    <w:rsid w:val="000A106C"/>
    <w:rsid w:val="000A1489"/>
    <w:rsid w:val="000A1565"/>
    <w:rsid w:val="000A19DA"/>
    <w:rsid w:val="000A2E57"/>
    <w:rsid w:val="000A32F4"/>
    <w:rsid w:val="000A40AC"/>
    <w:rsid w:val="000A4968"/>
    <w:rsid w:val="000A49D1"/>
    <w:rsid w:val="000A4E61"/>
    <w:rsid w:val="000A4F95"/>
    <w:rsid w:val="000A5300"/>
    <w:rsid w:val="000A6275"/>
    <w:rsid w:val="000A6366"/>
    <w:rsid w:val="000A65BA"/>
    <w:rsid w:val="000A6F3C"/>
    <w:rsid w:val="000A7A98"/>
    <w:rsid w:val="000B2F29"/>
    <w:rsid w:val="000B3032"/>
    <w:rsid w:val="000B3DED"/>
    <w:rsid w:val="000B417F"/>
    <w:rsid w:val="000B582C"/>
    <w:rsid w:val="000B5F85"/>
    <w:rsid w:val="000B6036"/>
    <w:rsid w:val="000B6642"/>
    <w:rsid w:val="000B6B8C"/>
    <w:rsid w:val="000B740E"/>
    <w:rsid w:val="000B7418"/>
    <w:rsid w:val="000B7935"/>
    <w:rsid w:val="000B7976"/>
    <w:rsid w:val="000B79C3"/>
    <w:rsid w:val="000C0590"/>
    <w:rsid w:val="000C3088"/>
    <w:rsid w:val="000C3461"/>
    <w:rsid w:val="000C366C"/>
    <w:rsid w:val="000C3BAA"/>
    <w:rsid w:val="000C3C30"/>
    <w:rsid w:val="000C3FEF"/>
    <w:rsid w:val="000C4F6E"/>
    <w:rsid w:val="000D1972"/>
    <w:rsid w:val="000D2C25"/>
    <w:rsid w:val="000D36D7"/>
    <w:rsid w:val="000D64C3"/>
    <w:rsid w:val="000D6C93"/>
    <w:rsid w:val="000E0895"/>
    <w:rsid w:val="000E0989"/>
    <w:rsid w:val="000E22C3"/>
    <w:rsid w:val="000E2713"/>
    <w:rsid w:val="000E27AB"/>
    <w:rsid w:val="000E319B"/>
    <w:rsid w:val="000E3499"/>
    <w:rsid w:val="000E383E"/>
    <w:rsid w:val="000E5155"/>
    <w:rsid w:val="000E565E"/>
    <w:rsid w:val="000E61FE"/>
    <w:rsid w:val="000E6F08"/>
    <w:rsid w:val="000E79DA"/>
    <w:rsid w:val="000E7DF4"/>
    <w:rsid w:val="000F0699"/>
    <w:rsid w:val="000F0CFB"/>
    <w:rsid w:val="000F2A64"/>
    <w:rsid w:val="000F3805"/>
    <w:rsid w:val="000F3EF6"/>
    <w:rsid w:val="000F6D5B"/>
    <w:rsid w:val="000F6ED3"/>
    <w:rsid w:val="000F74FB"/>
    <w:rsid w:val="00100410"/>
    <w:rsid w:val="00100DA3"/>
    <w:rsid w:val="00100EF9"/>
    <w:rsid w:val="0010190B"/>
    <w:rsid w:val="00103631"/>
    <w:rsid w:val="00103654"/>
    <w:rsid w:val="001040DC"/>
    <w:rsid w:val="00104A8D"/>
    <w:rsid w:val="00105404"/>
    <w:rsid w:val="001068CA"/>
    <w:rsid w:val="00107DAF"/>
    <w:rsid w:val="001105C7"/>
    <w:rsid w:val="00110F56"/>
    <w:rsid w:val="0011151D"/>
    <w:rsid w:val="00112159"/>
    <w:rsid w:val="001121CE"/>
    <w:rsid w:val="00113A31"/>
    <w:rsid w:val="001151DC"/>
    <w:rsid w:val="001169F7"/>
    <w:rsid w:val="00116EF9"/>
    <w:rsid w:val="00117767"/>
    <w:rsid w:val="00121AF0"/>
    <w:rsid w:val="00122266"/>
    <w:rsid w:val="00122FA6"/>
    <w:rsid w:val="001236A4"/>
    <w:rsid w:val="001308C0"/>
    <w:rsid w:val="00130E26"/>
    <w:rsid w:val="00130EE1"/>
    <w:rsid w:val="001324A4"/>
    <w:rsid w:val="001333F7"/>
    <w:rsid w:val="001349B3"/>
    <w:rsid w:val="00135968"/>
    <w:rsid w:val="00135CD0"/>
    <w:rsid w:val="00135EA4"/>
    <w:rsid w:val="0013684E"/>
    <w:rsid w:val="00136D7A"/>
    <w:rsid w:val="00136E13"/>
    <w:rsid w:val="001379B2"/>
    <w:rsid w:val="00137AA9"/>
    <w:rsid w:val="00141CB1"/>
    <w:rsid w:val="00141ED5"/>
    <w:rsid w:val="0014243D"/>
    <w:rsid w:val="0014330C"/>
    <w:rsid w:val="001435F8"/>
    <w:rsid w:val="00143F40"/>
    <w:rsid w:val="00145D08"/>
    <w:rsid w:val="00145F7B"/>
    <w:rsid w:val="0014646D"/>
    <w:rsid w:val="00146CC6"/>
    <w:rsid w:val="00147097"/>
    <w:rsid w:val="0015005D"/>
    <w:rsid w:val="001519D6"/>
    <w:rsid w:val="001528CD"/>
    <w:rsid w:val="00153CA5"/>
    <w:rsid w:val="00153CDE"/>
    <w:rsid w:val="0015585A"/>
    <w:rsid w:val="00156330"/>
    <w:rsid w:val="00157131"/>
    <w:rsid w:val="0016009B"/>
    <w:rsid w:val="00160446"/>
    <w:rsid w:val="0016070E"/>
    <w:rsid w:val="00160D61"/>
    <w:rsid w:val="0016168E"/>
    <w:rsid w:val="00163A22"/>
    <w:rsid w:val="0016583F"/>
    <w:rsid w:val="001666ED"/>
    <w:rsid w:val="00167D3D"/>
    <w:rsid w:val="00175D35"/>
    <w:rsid w:val="00180AB7"/>
    <w:rsid w:val="00181705"/>
    <w:rsid w:val="001817E3"/>
    <w:rsid w:val="00184694"/>
    <w:rsid w:val="00184C16"/>
    <w:rsid w:val="001872D6"/>
    <w:rsid w:val="00187D41"/>
    <w:rsid w:val="0019099B"/>
    <w:rsid w:val="00190F67"/>
    <w:rsid w:val="00192052"/>
    <w:rsid w:val="001927C6"/>
    <w:rsid w:val="00193926"/>
    <w:rsid w:val="00194DF6"/>
    <w:rsid w:val="001951BD"/>
    <w:rsid w:val="00195353"/>
    <w:rsid w:val="00195E4B"/>
    <w:rsid w:val="001960BD"/>
    <w:rsid w:val="001969F4"/>
    <w:rsid w:val="001A0B9C"/>
    <w:rsid w:val="001A157B"/>
    <w:rsid w:val="001A1586"/>
    <w:rsid w:val="001A3D34"/>
    <w:rsid w:val="001A4815"/>
    <w:rsid w:val="001A6425"/>
    <w:rsid w:val="001A64ED"/>
    <w:rsid w:val="001A6A51"/>
    <w:rsid w:val="001A73D1"/>
    <w:rsid w:val="001A7969"/>
    <w:rsid w:val="001B0B2A"/>
    <w:rsid w:val="001B13C0"/>
    <w:rsid w:val="001B55AC"/>
    <w:rsid w:val="001B660B"/>
    <w:rsid w:val="001B69B5"/>
    <w:rsid w:val="001B70F0"/>
    <w:rsid w:val="001B763D"/>
    <w:rsid w:val="001C0FE5"/>
    <w:rsid w:val="001C20A1"/>
    <w:rsid w:val="001C221B"/>
    <w:rsid w:val="001C2D68"/>
    <w:rsid w:val="001C461B"/>
    <w:rsid w:val="001C4685"/>
    <w:rsid w:val="001C475A"/>
    <w:rsid w:val="001C5195"/>
    <w:rsid w:val="001C542A"/>
    <w:rsid w:val="001C72FB"/>
    <w:rsid w:val="001C7566"/>
    <w:rsid w:val="001C7685"/>
    <w:rsid w:val="001C7C58"/>
    <w:rsid w:val="001D02C5"/>
    <w:rsid w:val="001D0589"/>
    <w:rsid w:val="001D06A5"/>
    <w:rsid w:val="001D0B9C"/>
    <w:rsid w:val="001D0C20"/>
    <w:rsid w:val="001D1D24"/>
    <w:rsid w:val="001D1F43"/>
    <w:rsid w:val="001D2229"/>
    <w:rsid w:val="001D2521"/>
    <w:rsid w:val="001D2877"/>
    <w:rsid w:val="001D2B63"/>
    <w:rsid w:val="001D36F7"/>
    <w:rsid w:val="001D6A07"/>
    <w:rsid w:val="001E0384"/>
    <w:rsid w:val="001E0D4A"/>
    <w:rsid w:val="001E262E"/>
    <w:rsid w:val="001E27C2"/>
    <w:rsid w:val="001E2828"/>
    <w:rsid w:val="001E3E01"/>
    <w:rsid w:val="001E52B7"/>
    <w:rsid w:val="001E626E"/>
    <w:rsid w:val="001E69F0"/>
    <w:rsid w:val="001E6AF2"/>
    <w:rsid w:val="001E703A"/>
    <w:rsid w:val="001F0CEF"/>
    <w:rsid w:val="001F1A3C"/>
    <w:rsid w:val="001F2737"/>
    <w:rsid w:val="001F32C2"/>
    <w:rsid w:val="001F393F"/>
    <w:rsid w:val="001F4134"/>
    <w:rsid w:val="002007A4"/>
    <w:rsid w:val="0020218D"/>
    <w:rsid w:val="00202309"/>
    <w:rsid w:val="0020233A"/>
    <w:rsid w:val="002033D1"/>
    <w:rsid w:val="0020345A"/>
    <w:rsid w:val="00203A02"/>
    <w:rsid w:val="00206666"/>
    <w:rsid w:val="00206A94"/>
    <w:rsid w:val="002101A6"/>
    <w:rsid w:val="0021042F"/>
    <w:rsid w:val="002105EC"/>
    <w:rsid w:val="00210AF7"/>
    <w:rsid w:val="00211105"/>
    <w:rsid w:val="0021274D"/>
    <w:rsid w:val="00213700"/>
    <w:rsid w:val="00213C55"/>
    <w:rsid w:val="002140B2"/>
    <w:rsid w:val="00214C07"/>
    <w:rsid w:val="00214E9B"/>
    <w:rsid w:val="0022019B"/>
    <w:rsid w:val="00220C89"/>
    <w:rsid w:val="002218B0"/>
    <w:rsid w:val="00226208"/>
    <w:rsid w:val="0022699D"/>
    <w:rsid w:val="00227B75"/>
    <w:rsid w:val="00231144"/>
    <w:rsid w:val="00232183"/>
    <w:rsid w:val="00233DF0"/>
    <w:rsid w:val="00234B6F"/>
    <w:rsid w:val="00236EBE"/>
    <w:rsid w:val="0024149C"/>
    <w:rsid w:val="00241C91"/>
    <w:rsid w:val="00242861"/>
    <w:rsid w:val="00242DF8"/>
    <w:rsid w:val="002440D8"/>
    <w:rsid w:val="0024451E"/>
    <w:rsid w:val="00244697"/>
    <w:rsid w:val="00244C45"/>
    <w:rsid w:val="00245370"/>
    <w:rsid w:val="00245B31"/>
    <w:rsid w:val="0024628E"/>
    <w:rsid w:val="00246C8B"/>
    <w:rsid w:val="002477C0"/>
    <w:rsid w:val="00251741"/>
    <w:rsid w:val="0025308A"/>
    <w:rsid w:val="00253825"/>
    <w:rsid w:val="00254C7C"/>
    <w:rsid w:val="00254F47"/>
    <w:rsid w:val="002558AB"/>
    <w:rsid w:val="00255F44"/>
    <w:rsid w:val="00260929"/>
    <w:rsid w:val="0026114A"/>
    <w:rsid w:val="00261587"/>
    <w:rsid w:val="0026258F"/>
    <w:rsid w:val="00262A28"/>
    <w:rsid w:val="0026392B"/>
    <w:rsid w:val="00264F60"/>
    <w:rsid w:val="00265C9F"/>
    <w:rsid w:val="00265FEE"/>
    <w:rsid w:val="002664D8"/>
    <w:rsid w:val="00267BBF"/>
    <w:rsid w:val="00267BE9"/>
    <w:rsid w:val="00272A2B"/>
    <w:rsid w:val="002763FB"/>
    <w:rsid w:val="00280E2B"/>
    <w:rsid w:val="00283366"/>
    <w:rsid w:val="00283800"/>
    <w:rsid w:val="00283E17"/>
    <w:rsid w:val="00284874"/>
    <w:rsid w:val="00285D9B"/>
    <w:rsid w:val="002862F8"/>
    <w:rsid w:val="0028768E"/>
    <w:rsid w:val="002876EE"/>
    <w:rsid w:val="00287761"/>
    <w:rsid w:val="002908BC"/>
    <w:rsid w:val="00291742"/>
    <w:rsid w:val="00291D2B"/>
    <w:rsid w:val="002927BA"/>
    <w:rsid w:val="00292E98"/>
    <w:rsid w:val="00293220"/>
    <w:rsid w:val="00293342"/>
    <w:rsid w:val="00293546"/>
    <w:rsid w:val="00293AB3"/>
    <w:rsid w:val="00293D9A"/>
    <w:rsid w:val="00294860"/>
    <w:rsid w:val="00295145"/>
    <w:rsid w:val="002954CF"/>
    <w:rsid w:val="00296374"/>
    <w:rsid w:val="00296D92"/>
    <w:rsid w:val="00296DE1"/>
    <w:rsid w:val="00296DF9"/>
    <w:rsid w:val="00297E41"/>
    <w:rsid w:val="002A0285"/>
    <w:rsid w:val="002A0EE7"/>
    <w:rsid w:val="002A0FB1"/>
    <w:rsid w:val="002A1D29"/>
    <w:rsid w:val="002A6F99"/>
    <w:rsid w:val="002A7E49"/>
    <w:rsid w:val="002B094C"/>
    <w:rsid w:val="002B1B9E"/>
    <w:rsid w:val="002B296B"/>
    <w:rsid w:val="002B2F0D"/>
    <w:rsid w:val="002B4477"/>
    <w:rsid w:val="002B63DE"/>
    <w:rsid w:val="002B7E9F"/>
    <w:rsid w:val="002C058A"/>
    <w:rsid w:val="002C20B4"/>
    <w:rsid w:val="002C24AE"/>
    <w:rsid w:val="002C25E4"/>
    <w:rsid w:val="002C3282"/>
    <w:rsid w:val="002C3568"/>
    <w:rsid w:val="002D0BDF"/>
    <w:rsid w:val="002D3ADD"/>
    <w:rsid w:val="002D3FE5"/>
    <w:rsid w:val="002D4D0C"/>
    <w:rsid w:val="002D6168"/>
    <w:rsid w:val="002D69ED"/>
    <w:rsid w:val="002D6C08"/>
    <w:rsid w:val="002D7057"/>
    <w:rsid w:val="002D7201"/>
    <w:rsid w:val="002D7632"/>
    <w:rsid w:val="002D767A"/>
    <w:rsid w:val="002E0507"/>
    <w:rsid w:val="002E05E7"/>
    <w:rsid w:val="002E4C76"/>
    <w:rsid w:val="002E4D0C"/>
    <w:rsid w:val="002E4F7E"/>
    <w:rsid w:val="002E649C"/>
    <w:rsid w:val="002E6F99"/>
    <w:rsid w:val="002E7553"/>
    <w:rsid w:val="002E7A6A"/>
    <w:rsid w:val="002E7F21"/>
    <w:rsid w:val="002E7FC5"/>
    <w:rsid w:val="002F06B9"/>
    <w:rsid w:val="002F12D4"/>
    <w:rsid w:val="002F25F8"/>
    <w:rsid w:val="002F27F0"/>
    <w:rsid w:val="002F2E49"/>
    <w:rsid w:val="002F3377"/>
    <w:rsid w:val="002F33A6"/>
    <w:rsid w:val="002F40FE"/>
    <w:rsid w:val="002F4668"/>
    <w:rsid w:val="002F6208"/>
    <w:rsid w:val="002F7B39"/>
    <w:rsid w:val="0030264B"/>
    <w:rsid w:val="003070D5"/>
    <w:rsid w:val="003079C2"/>
    <w:rsid w:val="0031134A"/>
    <w:rsid w:val="003124B2"/>
    <w:rsid w:val="00313E7B"/>
    <w:rsid w:val="003153DA"/>
    <w:rsid w:val="0031564E"/>
    <w:rsid w:val="00315804"/>
    <w:rsid w:val="00316029"/>
    <w:rsid w:val="00316C02"/>
    <w:rsid w:val="0031718D"/>
    <w:rsid w:val="00317E6A"/>
    <w:rsid w:val="003211B0"/>
    <w:rsid w:val="00322CF4"/>
    <w:rsid w:val="003251F4"/>
    <w:rsid w:val="00326D80"/>
    <w:rsid w:val="00331187"/>
    <w:rsid w:val="003334FA"/>
    <w:rsid w:val="00333800"/>
    <w:rsid w:val="00334257"/>
    <w:rsid w:val="00335B1B"/>
    <w:rsid w:val="0033663B"/>
    <w:rsid w:val="00340F10"/>
    <w:rsid w:val="003417D5"/>
    <w:rsid w:val="003426C9"/>
    <w:rsid w:val="003434EC"/>
    <w:rsid w:val="00344494"/>
    <w:rsid w:val="0034502D"/>
    <w:rsid w:val="00345149"/>
    <w:rsid w:val="0034537D"/>
    <w:rsid w:val="00346913"/>
    <w:rsid w:val="00347437"/>
    <w:rsid w:val="00347A48"/>
    <w:rsid w:val="00350A7E"/>
    <w:rsid w:val="00353149"/>
    <w:rsid w:val="00354199"/>
    <w:rsid w:val="00354A4C"/>
    <w:rsid w:val="003563D3"/>
    <w:rsid w:val="00356618"/>
    <w:rsid w:val="003574CB"/>
    <w:rsid w:val="0036070F"/>
    <w:rsid w:val="00360974"/>
    <w:rsid w:val="00360A73"/>
    <w:rsid w:val="00361319"/>
    <w:rsid w:val="00361C26"/>
    <w:rsid w:val="00362CCD"/>
    <w:rsid w:val="00363FEE"/>
    <w:rsid w:val="00364269"/>
    <w:rsid w:val="0036498F"/>
    <w:rsid w:val="0036606A"/>
    <w:rsid w:val="00366B4E"/>
    <w:rsid w:val="003678EA"/>
    <w:rsid w:val="003679B6"/>
    <w:rsid w:val="00371205"/>
    <w:rsid w:val="003715C8"/>
    <w:rsid w:val="00372740"/>
    <w:rsid w:val="00372B61"/>
    <w:rsid w:val="00372CF1"/>
    <w:rsid w:val="003732A5"/>
    <w:rsid w:val="00374001"/>
    <w:rsid w:val="00375A5C"/>
    <w:rsid w:val="00375B24"/>
    <w:rsid w:val="00375F2D"/>
    <w:rsid w:val="003814F8"/>
    <w:rsid w:val="0038184A"/>
    <w:rsid w:val="00381B09"/>
    <w:rsid w:val="00381BBA"/>
    <w:rsid w:val="00382871"/>
    <w:rsid w:val="00383493"/>
    <w:rsid w:val="00383510"/>
    <w:rsid w:val="00383657"/>
    <w:rsid w:val="00384436"/>
    <w:rsid w:val="0038582C"/>
    <w:rsid w:val="00386AD3"/>
    <w:rsid w:val="003870B9"/>
    <w:rsid w:val="003875C6"/>
    <w:rsid w:val="003901FD"/>
    <w:rsid w:val="003927B8"/>
    <w:rsid w:val="00392B81"/>
    <w:rsid w:val="0039436B"/>
    <w:rsid w:val="00394B05"/>
    <w:rsid w:val="0039564F"/>
    <w:rsid w:val="003967C9"/>
    <w:rsid w:val="00396D52"/>
    <w:rsid w:val="003975C3"/>
    <w:rsid w:val="003A16D8"/>
    <w:rsid w:val="003A1D70"/>
    <w:rsid w:val="003A1F4E"/>
    <w:rsid w:val="003A2958"/>
    <w:rsid w:val="003A5ADD"/>
    <w:rsid w:val="003A5F96"/>
    <w:rsid w:val="003A6349"/>
    <w:rsid w:val="003B0122"/>
    <w:rsid w:val="003B065E"/>
    <w:rsid w:val="003B0A14"/>
    <w:rsid w:val="003B0BB4"/>
    <w:rsid w:val="003B2239"/>
    <w:rsid w:val="003B26E3"/>
    <w:rsid w:val="003B3C90"/>
    <w:rsid w:val="003B622B"/>
    <w:rsid w:val="003B6490"/>
    <w:rsid w:val="003C0D71"/>
    <w:rsid w:val="003C1AD4"/>
    <w:rsid w:val="003C22FC"/>
    <w:rsid w:val="003C3745"/>
    <w:rsid w:val="003C3950"/>
    <w:rsid w:val="003C3B1D"/>
    <w:rsid w:val="003C3E19"/>
    <w:rsid w:val="003C3F9E"/>
    <w:rsid w:val="003C426F"/>
    <w:rsid w:val="003C4973"/>
    <w:rsid w:val="003C4E1A"/>
    <w:rsid w:val="003C511E"/>
    <w:rsid w:val="003C5C23"/>
    <w:rsid w:val="003C607C"/>
    <w:rsid w:val="003C7131"/>
    <w:rsid w:val="003D0F50"/>
    <w:rsid w:val="003D117A"/>
    <w:rsid w:val="003D1F7E"/>
    <w:rsid w:val="003D3486"/>
    <w:rsid w:val="003D4135"/>
    <w:rsid w:val="003D4BB9"/>
    <w:rsid w:val="003D5C0B"/>
    <w:rsid w:val="003D658D"/>
    <w:rsid w:val="003D79BD"/>
    <w:rsid w:val="003D7BC5"/>
    <w:rsid w:val="003E01E1"/>
    <w:rsid w:val="003E1344"/>
    <w:rsid w:val="003E1D4B"/>
    <w:rsid w:val="003E288D"/>
    <w:rsid w:val="003E34FE"/>
    <w:rsid w:val="003E3B8B"/>
    <w:rsid w:val="003E5A0B"/>
    <w:rsid w:val="003E65A7"/>
    <w:rsid w:val="003E7C33"/>
    <w:rsid w:val="003E7E8C"/>
    <w:rsid w:val="003F0677"/>
    <w:rsid w:val="003F0AB8"/>
    <w:rsid w:val="003F0D9A"/>
    <w:rsid w:val="003F1242"/>
    <w:rsid w:val="003F2089"/>
    <w:rsid w:val="003F21EB"/>
    <w:rsid w:val="003F27E1"/>
    <w:rsid w:val="003F3046"/>
    <w:rsid w:val="003F3154"/>
    <w:rsid w:val="003F3616"/>
    <w:rsid w:val="003F415B"/>
    <w:rsid w:val="003F429F"/>
    <w:rsid w:val="003F4FE1"/>
    <w:rsid w:val="003F5981"/>
    <w:rsid w:val="003F5DA3"/>
    <w:rsid w:val="003F6537"/>
    <w:rsid w:val="003F7CF4"/>
    <w:rsid w:val="003F7DC2"/>
    <w:rsid w:val="00400354"/>
    <w:rsid w:val="004010F8"/>
    <w:rsid w:val="00401479"/>
    <w:rsid w:val="0040167E"/>
    <w:rsid w:val="004017BF"/>
    <w:rsid w:val="004019F6"/>
    <w:rsid w:val="00403150"/>
    <w:rsid w:val="00405830"/>
    <w:rsid w:val="00406FBC"/>
    <w:rsid w:val="004076CE"/>
    <w:rsid w:val="004110DA"/>
    <w:rsid w:val="00412CF7"/>
    <w:rsid w:val="00414273"/>
    <w:rsid w:val="00414933"/>
    <w:rsid w:val="004152EB"/>
    <w:rsid w:val="00415AF0"/>
    <w:rsid w:val="00415CA5"/>
    <w:rsid w:val="00415CE7"/>
    <w:rsid w:val="00417494"/>
    <w:rsid w:val="00420630"/>
    <w:rsid w:val="00421CC2"/>
    <w:rsid w:val="00422243"/>
    <w:rsid w:val="00424215"/>
    <w:rsid w:val="00424F16"/>
    <w:rsid w:val="00425507"/>
    <w:rsid w:val="00425D41"/>
    <w:rsid w:val="0042622D"/>
    <w:rsid w:val="00426CA0"/>
    <w:rsid w:val="00427427"/>
    <w:rsid w:val="00430F23"/>
    <w:rsid w:val="00431004"/>
    <w:rsid w:val="0043183D"/>
    <w:rsid w:val="0043197B"/>
    <w:rsid w:val="00432BA7"/>
    <w:rsid w:val="00432F2F"/>
    <w:rsid w:val="00436E17"/>
    <w:rsid w:val="00436F83"/>
    <w:rsid w:val="0043768E"/>
    <w:rsid w:val="00437926"/>
    <w:rsid w:val="00440C54"/>
    <w:rsid w:val="00440FD7"/>
    <w:rsid w:val="0044257E"/>
    <w:rsid w:val="00442B93"/>
    <w:rsid w:val="004439A2"/>
    <w:rsid w:val="00444416"/>
    <w:rsid w:val="00444ABE"/>
    <w:rsid w:val="00450C9A"/>
    <w:rsid w:val="00450D9E"/>
    <w:rsid w:val="00451067"/>
    <w:rsid w:val="00451158"/>
    <w:rsid w:val="00454A38"/>
    <w:rsid w:val="00457718"/>
    <w:rsid w:val="00461BE4"/>
    <w:rsid w:val="0046718A"/>
    <w:rsid w:val="00467C43"/>
    <w:rsid w:val="00467FE9"/>
    <w:rsid w:val="0047100A"/>
    <w:rsid w:val="00471AB6"/>
    <w:rsid w:val="00472017"/>
    <w:rsid w:val="0047236B"/>
    <w:rsid w:val="00474591"/>
    <w:rsid w:val="00474B4C"/>
    <w:rsid w:val="00475CA7"/>
    <w:rsid w:val="00477FD8"/>
    <w:rsid w:val="00482F22"/>
    <w:rsid w:val="00483086"/>
    <w:rsid w:val="004839B1"/>
    <w:rsid w:val="00483AD5"/>
    <w:rsid w:val="00486146"/>
    <w:rsid w:val="004864B5"/>
    <w:rsid w:val="00486FF1"/>
    <w:rsid w:val="0049091F"/>
    <w:rsid w:val="00490A7C"/>
    <w:rsid w:val="004917B4"/>
    <w:rsid w:val="004936D8"/>
    <w:rsid w:val="00493993"/>
    <w:rsid w:val="0049599B"/>
    <w:rsid w:val="00495CCD"/>
    <w:rsid w:val="00495DB5"/>
    <w:rsid w:val="0049619E"/>
    <w:rsid w:val="00496777"/>
    <w:rsid w:val="00496928"/>
    <w:rsid w:val="00496CBD"/>
    <w:rsid w:val="00496F39"/>
    <w:rsid w:val="00497E19"/>
    <w:rsid w:val="004A00A9"/>
    <w:rsid w:val="004A0C7F"/>
    <w:rsid w:val="004A1A1A"/>
    <w:rsid w:val="004A22D7"/>
    <w:rsid w:val="004A2AEB"/>
    <w:rsid w:val="004A30F2"/>
    <w:rsid w:val="004A33D4"/>
    <w:rsid w:val="004A3C6E"/>
    <w:rsid w:val="004A3C7D"/>
    <w:rsid w:val="004A3E33"/>
    <w:rsid w:val="004A46ED"/>
    <w:rsid w:val="004A55D3"/>
    <w:rsid w:val="004A7F92"/>
    <w:rsid w:val="004B26F9"/>
    <w:rsid w:val="004B2F0A"/>
    <w:rsid w:val="004B2FEF"/>
    <w:rsid w:val="004B3B5E"/>
    <w:rsid w:val="004B44E3"/>
    <w:rsid w:val="004B54EE"/>
    <w:rsid w:val="004B5E05"/>
    <w:rsid w:val="004B6CC8"/>
    <w:rsid w:val="004C144B"/>
    <w:rsid w:val="004C1C26"/>
    <w:rsid w:val="004C2F99"/>
    <w:rsid w:val="004C3B64"/>
    <w:rsid w:val="004C49E6"/>
    <w:rsid w:val="004C6664"/>
    <w:rsid w:val="004C74A4"/>
    <w:rsid w:val="004C75AC"/>
    <w:rsid w:val="004D192A"/>
    <w:rsid w:val="004D4356"/>
    <w:rsid w:val="004D46ED"/>
    <w:rsid w:val="004D4734"/>
    <w:rsid w:val="004D4B7D"/>
    <w:rsid w:val="004D4BBA"/>
    <w:rsid w:val="004D56E0"/>
    <w:rsid w:val="004D6A85"/>
    <w:rsid w:val="004E030C"/>
    <w:rsid w:val="004E0EF1"/>
    <w:rsid w:val="004E1242"/>
    <w:rsid w:val="004E12C8"/>
    <w:rsid w:val="004E356A"/>
    <w:rsid w:val="004E39B3"/>
    <w:rsid w:val="004E3CB4"/>
    <w:rsid w:val="004E422B"/>
    <w:rsid w:val="004E5E7F"/>
    <w:rsid w:val="004E6083"/>
    <w:rsid w:val="004E73CF"/>
    <w:rsid w:val="004E740D"/>
    <w:rsid w:val="004F01D4"/>
    <w:rsid w:val="004F041B"/>
    <w:rsid w:val="004F1F5A"/>
    <w:rsid w:val="004F2D7A"/>
    <w:rsid w:val="004F37C6"/>
    <w:rsid w:val="004F4314"/>
    <w:rsid w:val="004F541C"/>
    <w:rsid w:val="0050006E"/>
    <w:rsid w:val="0050176B"/>
    <w:rsid w:val="00501B52"/>
    <w:rsid w:val="00501D20"/>
    <w:rsid w:val="00502ABC"/>
    <w:rsid w:val="005036A1"/>
    <w:rsid w:val="00504656"/>
    <w:rsid w:val="00504EA8"/>
    <w:rsid w:val="0050709B"/>
    <w:rsid w:val="005071B1"/>
    <w:rsid w:val="005074BE"/>
    <w:rsid w:val="0050766E"/>
    <w:rsid w:val="005078F4"/>
    <w:rsid w:val="00512C7B"/>
    <w:rsid w:val="00513D5E"/>
    <w:rsid w:val="00514407"/>
    <w:rsid w:val="005148EE"/>
    <w:rsid w:val="00514987"/>
    <w:rsid w:val="00515875"/>
    <w:rsid w:val="0051703E"/>
    <w:rsid w:val="005177E9"/>
    <w:rsid w:val="00517951"/>
    <w:rsid w:val="0052036B"/>
    <w:rsid w:val="0052094E"/>
    <w:rsid w:val="00522376"/>
    <w:rsid w:val="00523414"/>
    <w:rsid w:val="0052554F"/>
    <w:rsid w:val="005257B9"/>
    <w:rsid w:val="00526525"/>
    <w:rsid w:val="005269F3"/>
    <w:rsid w:val="00527A4C"/>
    <w:rsid w:val="005315B7"/>
    <w:rsid w:val="00534676"/>
    <w:rsid w:val="00534F96"/>
    <w:rsid w:val="005374DA"/>
    <w:rsid w:val="00542119"/>
    <w:rsid w:val="00542C3B"/>
    <w:rsid w:val="00544303"/>
    <w:rsid w:val="00546670"/>
    <w:rsid w:val="00546900"/>
    <w:rsid w:val="00546CEC"/>
    <w:rsid w:val="005479AF"/>
    <w:rsid w:val="00552CCD"/>
    <w:rsid w:val="0055332A"/>
    <w:rsid w:val="0055365A"/>
    <w:rsid w:val="00554450"/>
    <w:rsid w:val="00554460"/>
    <w:rsid w:val="00556A2D"/>
    <w:rsid w:val="00556A5A"/>
    <w:rsid w:val="00557100"/>
    <w:rsid w:val="0055715C"/>
    <w:rsid w:val="00557885"/>
    <w:rsid w:val="00560AD8"/>
    <w:rsid w:val="005610A8"/>
    <w:rsid w:val="005614A1"/>
    <w:rsid w:val="005625AB"/>
    <w:rsid w:val="00562E3B"/>
    <w:rsid w:val="005633CE"/>
    <w:rsid w:val="005660B5"/>
    <w:rsid w:val="00566640"/>
    <w:rsid w:val="00567A61"/>
    <w:rsid w:val="00567D5A"/>
    <w:rsid w:val="005703B6"/>
    <w:rsid w:val="0057097C"/>
    <w:rsid w:val="005715BC"/>
    <w:rsid w:val="00573188"/>
    <w:rsid w:val="0057346F"/>
    <w:rsid w:val="0057517B"/>
    <w:rsid w:val="00575DEC"/>
    <w:rsid w:val="005769C6"/>
    <w:rsid w:val="00577092"/>
    <w:rsid w:val="005774F2"/>
    <w:rsid w:val="00583E46"/>
    <w:rsid w:val="00584FEB"/>
    <w:rsid w:val="00586FA6"/>
    <w:rsid w:val="00590BD2"/>
    <w:rsid w:val="00590EB3"/>
    <w:rsid w:val="00590EE8"/>
    <w:rsid w:val="00591046"/>
    <w:rsid w:val="005910B8"/>
    <w:rsid w:val="005918F4"/>
    <w:rsid w:val="0059387E"/>
    <w:rsid w:val="00594556"/>
    <w:rsid w:val="0059578A"/>
    <w:rsid w:val="00595DB7"/>
    <w:rsid w:val="005A045F"/>
    <w:rsid w:val="005A047E"/>
    <w:rsid w:val="005A24D8"/>
    <w:rsid w:val="005A44F2"/>
    <w:rsid w:val="005A526D"/>
    <w:rsid w:val="005A5D2A"/>
    <w:rsid w:val="005A5ECC"/>
    <w:rsid w:val="005A70DC"/>
    <w:rsid w:val="005B0023"/>
    <w:rsid w:val="005B00E7"/>
    <w:rsid w:val="005B04EC"/>
    <w:rsid w:val="005B1A53"/>
    <w:rsid w:val="005B4083"/>
    <w:rsid w:val="005B42AE"/>
    <w:rsid w:val="005B59BE"/>
    <w:rsid w:val="005B6048"/>
    <w:rsid w:val="005B6D15"/>
    <w:rsid w:val="005B6FC2"/>
    <w:rsid w:val="005C02D4"/>
    <w:rsid w:val="005C0E02"/>
    <w:rsid w:val="005C1161"/>
    <w:rsid w:val="005C1B4C"/>
    <w:rsid w:val="005C2B55"/>
    <w:rsid w:val="005C2EA8"/>
    <w:rsid w:val="005C7907"/>
    <w:rsid w:val="005C7BB6"/>
    <w:rsid w:val="005C7D16"/>
    <w:rsid w:val="005D375E"/>
    <w:rsid w:val="005D54B6"/>
    <w:rsid w:val="005E070D"/>
    <w:rsid w:val="005E0DDC"/>
    <w:rsid w:val="005E1058"/>
    <w:rsid w:val="005E154F"/>
    <w:rsid w:val="005E36AE"/>
    <w:rsid w:val="005E5406"/>
    <w:rsid w:val="005E6311"/>
    <w:rsid w:val="005E7762"/>
    <w:rsid w:val="005E7894"/>
    <w:rsid w:val="005E79F5"/>
    <w:rsid w:val="005F0419"/>
    <w:rsid w:val="005F29E2"/>
    <w:rsid w:val="005F31C5"/>
    <w:rsid w:val="005F4B76"/>
    <w:rsid w:val="005F687F"/>
    <w:rsid w:val="005F7BDB"/>
    <w:rsid w:val="00601579"/>
    <w:rsid w:val="00601913"/>
    <w:rsid w:val="00601B13"/>
    <w:rsid w:val="00602608"/>
    <w:rsid w:val="00604898"/>
    <w:rsid w:val="00605D22"/>
    <w:rsid w:val="00606876"/>
    <w:rsid w:val="00610A0E"/>
    <w:rsid w:val="006110E9"/>
    <w:rsid w:val="0061206F"/>
    <w:rsid w:val="00612149"/>
    <w:rsid w:val="00615E0F"/>
    <w:rsid w:val="00616EE6"/>
    <w:rsid w:val="0061725A"/>
    <w:rsid w:val="00620244"/>
    <w:rsid w:val="00621AB0"/>
    <w:rsid w:val="00621BF0"/>
    <w:rsid w:val="00622689"/>
    <w:rsid w:val="00622AC9"/>
    <w:rsid w:val="0062324F"/>
    <w:rsid w:val="006239A0"/>
    <w:rsid w:val="006239BD"/>
    <w:rsid w:val="00625D59"/>
    <w:rsid w:val="00626A0C"/>
    <w:rsid w:val="00626DF2"/>
    <w:rsid w:val="00626ECF"/>
    <w:rsid w:val="00627C97"/>
    <w:rsid w:val="00631197"/>
    <w:rsid w:val="0063192C"/>
    <w:rsid w:val="00632492"/>
    <w:rsid w:val="00632E27"/>
    <w:rsid w:val="00633376"/>
    <w:rsid w:val="00633801"/>
    <w:rsid w:val="0063391A"/>
    <w:rsid w:val="00634553"/>
    <w:rsid w:val="00635441"/>
    <w:rsid w:val="00636B78"/>
    <w:rsid w:val="006373EE"/>
    <w:rsid w:val="00637A17"/>
    <w:rsid w:val="00640D30"/>
    <w:rsid w:val="00641146"/>
    <w:rsid w:val="00641FFD"/>
    <w:rsid w:val="006423B9"/>
    <w:rsid w:val="00646244"/>
    <w:rsid w:val="0064798A"/>
    <w:rsid w:val="006524B5"/>
    <w:rsid w:val="00652DD9"/>
    <w:rsid w:val="00653B21"/>
    <w:rsid w:val="00656C6D"/>
    <w:rsid w:val="006605E0"/>
    <w:rsid w:val="00661445"/>
    <w:rsid w:val="00661D7F"/>
    <w:rsid w:val="00662DC4"/>
    <w:rsid w:val="00665DB8"/>
    <w:rsid w:val="00667A5D"/>
    <w:rsid w:val="00671052"/>
    <w:rsid w:val="00671BA0"/>
    <w:rsid w:val="00673AB9"/>
    <w:rsid w:val="00673C4E"/>
    <w:rsid w:val="0067509D"/>
    <w:rsid w:val="00677F3F"/>
    <w:rsid w:val="00680A58"/>
    <w:rsid w:val="00681DBD"/>
    <w:rsid w:val="006831C0"/>
    <w:rsid w:val="00683F27"/>
    <w:rsid w:val="0068430C"/>
    <w:rsid w:val="00684ADF"/>
    <w:rsid w:val="00686A31"/>
    <w:rsid w:val="00687B7F"/>
    <w:rsid w:val="00690004"/>
    <w:rsid w:val="00692468"/>
    <w:rsid w:val="00692F25"/>
    <w:rsid w:val="00695D41"/>
    <w:rsid w:val="00695E71"/>
    <w:rsid w:val="00695EA3"/>
    <w:rsid w:val="0069650E"/>
    <w:rsid w:val="00696787"/>
    <w:rsid w:val="00697258"/>
    <w:rsid w:val="00697F8F"/>
    <w:rsid w:val="006A1503"/>
    <w:rsid w:val="006A2AE1"/>
    <w:rsid w:val="006A3E79"/>
    <w:rsid w:val="006A4591"/>
    <w:rsid w:val="006A4A8C"/>
    <w:rsid w:val="006A4B48"/>
    <w:rsid w:val="006A65D7"/>
    <w:rsid w:val="006A6740"/>
    <w:rsid w:val="006A6D81"/>
    <w:rsid w:val="006A73C4"/>
    <w:rsid w:val="006A74F0"/>
    <w:rsid w:val="006A7EEA"/>
    <w:rsid w:val="006B01DE"/>
    <w:rsid w:val="006B098A"/>
    <w:rsid w:val="006B225B"/>
    <w:rsid w:val="006B450A"/>
    <w:rsid w:val="006B525B"/>
    <w:rsid w:val="006B5C54"/>
    <w:rsid w:val="006C127F"/>
    <w:rsid w:val="006C22D8"/>
    <w:rsid w:val="006C2781"/>
    <w:rsid w:val="006C36C8"/>
    <w:rsid w:val="006C5E53"/>
    <w:rsid w:val="006C65F7"/>
    <w:rsid w:val="006D4EEA"/>
    <w:rsid w:val="006D4FFB"/>
    <w:rsid w:val="006D4FFF"/>
    <w:rsid w:val="006D61F4"/>
    <w:rsid w:val="006D72BC"/>
    <w:rsid w:val="006D79DE"/>
    <w:rsid w:val="006E2531"/>
    <w:rsid w:val="006E3925"/>
    <w:rsid w:val="006E523C"/>
    <w:rsid w:val="006E5462"/>
    <w:rsid w:val="006E7915"/>
    <w:rsid w:val="006F0C18"/>
    <w:rsid w:val="006F1717"/>
    <w:rsid w:val="006F1917"/>
    <w:rsid w:val="006F234B"/>
    <w:rsid w:val="006F2634"/>
    <w:rsid w:val="006F2716"/>
    <w:rsid w:val="006F7728"/>
    <w:rsid w:val="0070077A"/>
    <w:rsid w:val="00700B3D"/>
    <w:rsid w:val="00701CC8"/>
    <w:rsid w:val="0070340A"/>
    <w:rsid w:val="00703C5A"/>
    <w:rsid w:val="00710361"/>
    <w:rsid w:val="007114D9"/>
    <w:rsid w:val="00712E37"/>
    <w:rsid w:val="007176F2"/>
    <w:rsid w:val="0072058F"/>
    <w:rsid w:val="0072163C"/>
    <w:rsid w:val="00721E0C"/>
    <w:rsid w:val="007223D1"/>
    <w:rsid w:val="00722A00"/>
    <w:rsid w:val="00722D28"/>
    <w:rsid w:val="00723147"/>
    <w:rsid w:val="0072412D"/>
    <w:rsid w:val="007242BD"/>
    <w:rsid w:val="00726010"/>
    <w:rsid w:val="00726539"/>
    <w:rsid w:val="00726D9C"/>
    <w:rsid w:val="00730684"/>
    <w:rsid w:val="0073211C"/>
    <w:rsid w:val="00732A2E"/>
    <w:rsid w:val="007331CC"/>
    <w:rsid w:val="00733A0B"/>
    <w:rsid w:val="00733A66"/>
    <w:rsid w:val="0073440E"/>
    <w:rsid w:val="00734CCA"/>
    <w:rsid w:val="007365CB"/>
    <w:rsid w:val="00736728"/>
    <w:rsid w:val="00736B1D"/>
    <w:rsid w:val="00740507"/>
    <w:rsid w:val="00740B35"/>
    <w:rsid w:val="00741C16"/>
    <w:rsid w:val="007422B8"/>
    <w:rsid w:val="007422CD"/>
    <w:rsid w:val="0074322F"/>
    <w:rsid w:val="0074616E"/>
    <w:rsid w:val="007473C7"/>
    <w:rsid w:val="0074752D"/>
    <w:rsid w:val="0075056B"/>
    <w:rsid w:val="00752918"/>
    <w:rsid w:val="007547B7"/>
    <w:rsid w:val="007553B0"/>
    <w:rsid w:val="00756A98"/>
    <w:rsid w:val="00756D95"/>
    <w:rsid w:val="00760E53"/>
    <w:rsid w:val="00761162"/>
    <w:rsid w:val="007618DB"/>
    <w:rsid w:val="00761F43"/>
    <w:rsid w:val="00762761"/>
    <w:rsid w:val="00763ED6"/>
    <w:rsid w:val="00764345"/>
    <w:rsid w:val="007643AE"/>
    <w:rsid w:val="007661B6"/>
    <w:rsid w:val="007713B1"/>
    <w:rsid w:val="00772652"/>
    <w:rsid w:val="007732AC"/>
    <w:rsid w:val="0077475B"/>
    <w:rsid w:val="00774B32"/>
    <w:rsid w:val="00775DCD"/>
    <w:rsid w:val="00776FD3"/>
    <w:rsid w:val="00777EE8"/>
    <w:rsid w:val="00777FCC"/>
    <w:rsid w:val="00780A3D"/>
    <w:rsid w:val="00781799"/>
    <w:rsid w:val="0078203C"/>
    <w:rsid w:val="0078325D"/>
    <w:rsid w:val="00784BC2"/>
    <w:rsid w:val="00785262"/>
    <w:rsid w:val="00785D24"/>
    <w:rsid w:val="00786427"/>
    <w:rsid w:val="00787561"/>
    <w:rsid w:val="0079026A"/>
    <w:rsid w:val="0079172C"/>
    <w:rsid w:val="007917D4"/>
    <w:rsid w:val="00793336"/>
    <w:rsid w:val="00793B14"/>
    <w:rsid w:val="00794449"/>
    <w:rsid w:val="007945A5"/>
    <w:rsid w:val="00794CF2"/>
    <w:rsid w:val="007A0B3E"/>
    <w:rsid w:val="007A0B7C"/>
    <w:rsid w:val="007A1224"/>
    <w:rsid w:val="007A30CB"/>
    <w:rsid w:val="007A3815"/>
    <w:rsid w:val="007A4698"/>
    <w:rsid w:val="007A6AE6"/>
    <w:rsid w:val="007B0028"/>
    <w:rsid w:val="007B0E14"/>
    <w:rsid w:val="007B1E5B"/>
    <w:rsid w:val="007B2667"/>
    <w:rsid w:val="007B29A2"/>
    <w:rsid w:val="007B398D"/>
    <w:rsid w:val="007B41B5"/>
    <w:rsid w:val="007B4DF4"/>
    <w:rsid w:val="007B4EE9"/>
    <w:rsid w:val="007B5522"/>
    <w:rsid w:val="007B6440"/>
    <w:rsid w:val="007B71D8"/>
    <w:rsid w:val="007B788A"/>
    <w:rsid w:val="007B7A26"/>
    <w:rsid w:val="007B7C56"/>
    <w:rsid w:val="007C078B"/>
    <w:rsid w:val="007C0CC4"/>
    <w:rsid w:val="007C2B3A"/>
    <w:rsid w:val="007C463D"/>
    <w:rsid w:val="007C5905"/>
    <w:rsid w:val="007C5B85"/>
    <w:rsid w:val="007C68C8"/>
    <w:rsid w:val="007C6954"/>
    <w:rsid w:val="007C7CF9"/>
    <w:rsid w:val="007D0AA5"/>
    <w:rsid w:val="007D23F5"/>
    <w:rsid w:val="007D26AC"/>
    <w:rsid w:val="007D3A8F"/>
    <w:rsid w:val="007D424B"/>
    <w:rsid w:val="007D4947"/>
    <w:rsid w:val="007D582D"/>
    <w:rsid w:val="007D5B20"/>
    <w:rsid w:val="007D5B9E"/>
    <w:rsid w:val="007D5D54"/>
    <w:rsid w:val="007D680E"/>
    <w:rsid w:val="007E6315"/>
    <w:rsid w:val="007E6588"/>
    <w:rsid w:val="007F01C6"/>
    <w:rsid w:val="007F08FA"/>
    <w:rsid w:val="007F0B50"/>
    <w:rsid w:val="007F0DE4"/>
    <w:rsid w:val="007F2DBF"/>
    <w:rsid w:val="007F3027"/>
    <w:rsid w:val="007F34A9"/>
    <w:rsid w:val="007F371D"/>
    <w:rsid w:val="007F4667"/>
    <w:rsid w:val="007F47E0"/>
    <w:rsid w:val="007F4BE0"/>
    <w:rsid w:val="007F5074"/>
    <w:rsid w:val="007F519A"/>
    <w:rsid w:val="007F558D"/>
    <w:rsid w:val="007F6E4F"/>
    <w:rsid w:val="007F776C"/>
    <w:rsid w:val="008000AE"/>
    <w:rsid w:val="0080123B"/>
    <w:rsid w:val="00802EE8"/>
    <w:rsid w:val="00802EF6"/>
    <w:rsid w:val="008037DF"/>
    <w:rsid w:val="00803FE4"/>
    <w:rsid w:val="008067B8"/>
    <w:rsid w:val="00806B8A"/>
    <w:rsid w:val="008076E8"/>
    <w:rsid w:val="0081015F"/>
    <w:rsid w:val="0081098A"/>
    <w:rsid w:val="0081148E"/>
    <w:rsid w:val="00811EDA"/>
    <w:rsid w:val="008124FE"/>
    <w:rsid w:val="008147C8"/>
    <w:rsid w:val="008163DE"/>
    <w:rsid w:val="008164B2"/>
    <w:rsid w:val="00821105"/>
    <w:rsid w:val="00821243"/>
    <w:rsid w:val="00821515"/>
    <w:rsid w:val="008232B7"/>
    <w:rsid w:val="00824387"/>
    <w:rsid w:val="00825C38"/>
    <w:rsid w:val="00825CB6"/>
    <w:rsid w:val="00825E90"/>
    <w:rsid w:val="0082611A"/>
    <w:rsid w:val="00826BB7"/>
    <w:rsid w:val="00826F65"/>
    <w:rsid w:val="0082707B"/>
    <w:rsid w:val="0083138B"/>
    <w:rsid w:val="00831A6F"/>
    <w:rsid w:val="00832622"/>
    <w:rsid w:val="0083436C"/>
    <w:rsid w:val="008346CB"/>
    <w:rsid w:val="008348ED"/>
    <w:rsid w:val="00834ECB"/>
    <w:rsid w:val="00835474"/>
    <w:rsid w:val="008359D0"/>
    <w:rsid w:val="00835B0F"/>
    <w:rsid w:val="008366F3"/>
    <w:rsid w:val="008369BF"/>
    <w:rsid w:val="00840EF3"/>
    <w:rsid w:val="00841972"/>
    <w:rsid w:val="008422CB"/>
    <w:rsid w:val="00842499"/>
    <w:rsid w:val="008426CE"/>
    <w:rsid w:val="00843119"/>
    <w:rsid w:val="00843451"/>
    <w:rsid w:val="0084406C"/>
    <w:rsid w:val="00845460"/>
    <w:rsid w:val="00850825"/>
    <w:rsid w:val="00850C56"/>
    <w:rsid w:val="00851AB4"/>
    <w:rsid w:val="00852C28"/>
    <w:rsid w:val="00853D75"/>
    <w:rsid w:val="00856193"/>
    <w:rsid w:val="00856990"/>
    <w:rsid w:val="00860496"/>
    <w:rsid w:val="00861317"/>
    <w:rsid w:val="00862011"/>
    <w:rsid w:val="00863DD8"/>
    <w:rsid w:val="00863EA4"/>
    <w:rsid w:val="00865A58"/>
    <w:rsid w:val="00866F9A"/>
    <w:rsid w:val="00867D73"/>
    <w:rsid w:val="008708CE"/>
    <w:rsid w:val="008713D4"/>
    <w:rsid w:val="00871BF4"/>
    <w:rsid w:val="008753D3"/>
    <w:rsid w:val="0087659F"/>
    <w:rsid w:val="00877237"/>
    <w:rsid w:val="00877DD5"/>
    <w:rsid w:val="0088002E"/>
    <w:rsid w:val="00881582"/>
    <w:rsid w:val="0088183B"/>
    <w:rsid w:val="00881ADD"/>
    <w:rsid w:val="0088276F"/>
    <w:rsid w:val="00884AFF"/>
    <w:rsid w:val="008861C4"/>
    <w:rsid w:val="0089074E"/>
    <w:rsid w:val="00890FC1"/>
    <w:rsid w:val="00891045"/>
    <w:rsid w:val="00891327"/>
    <w:rsid w:val="008916B0"/>
    <w:rsid w:val="00891735"/>
    <w:rsid w:val="00891B14"/>
    <w:rsid w:val="00891BFB"/>
    <w:rsid w:val="00893A61"/>
    <w:rsid w:val="00893EE2"/>
    <w:rsid w:val="008947EC"/>
    <w:rsid w:val="008956C7"/>
    <w:rsid w:val="00895F52"/>
    <w:rsid w:val="0089631D"/>
    <w:rsid w:val="00896F5C"/>
    <w:rsid w:val="00897B30"/>
    <w:rsid w:val="00897E75"/>
    <w:rsid w:val="008A2231"/>
    <w:rsid w:val="008A25D6"/>
    <w:rsid w:val="008A2E21"/>
    <w:rsid w:val="008A3C2E"/>
    <w:rsid w:val="008A3E4C"/>
    <w:rsid w:val="008A4CCD"/>
    <w:rsid w:val="008A5CBF"/>
    <w:rsid w:val="008A5EE6"/>
    <w:rsid w:val="008B1715"/>
    <w:rsid w:val="008B1C1A"/>
    <w:rsid w:val="008B26E5"/>
    <w:rsid w:val="008B3E80"/>
    <w:rsid w:val="008B426E"/>
    <w:rsid w:val="008B69A3"/>
    <w:rsid w:val="008B764F"/>
    <w:rsid w:val="008C04B6"/>
    <w:rsid w:val="008C29D7"/>
    <w:rsid w:val="008C3347"/>
    <w:rsid w:val="008C3420"/>
    <w:rsid w:val="008C48B8"/>
    <w:rsid w:val="008C538B"/>
    <w:rsid w:val="008C5BBF"/>
    <w:rsid w:val="008C6856"/>
    <w:rsid w:val="008C69A0"/>
    <w:rsid w:val="008C7733"/>
    <w:rsid w:val="008D0D36"/>
    <w:rsid w:val="008D2162"/>
    <w:rsid w:val="008D33AB"/>
    <w:rsid w:val="008D38EB"/>
    <w:rsid w:val="008D52A8"/>
    <w:rsid w:val="008D728E"/>
    <w:rsid w:val="008E0117"/>
    <w:rsid w:val="008E0FB7"/>
    <w:rsid w:val="008E14A1"/>
    <w:rsid w:val="008E2DCD"/>
    <w:rsid w:val="008E3080"/>
    <w:rsid w:val="008E36B4"/>
    <w:rsid w:val="008E5E38"/>
    <w:rsid w:val="008E6A4A"/>
    <w:rsid w:val="008E6DD6"/>
    <w:rsid w:val="008E781F"/>
    <w:rsid w:val="008F1302"/>
    <w:rsid w:val="008F18A9"/>
    <w:rsid w:val="008F25F8"/>
    <w:rsid w:val="008F2D91"/>
    <w:rsid w:val="008F43C5"/>
    <w:rsid w:val="008F4C7B"/>
    <w:rsid w:val="008F4E32"/>
    <w:rsid w:val="008F5D94"/>
    <w:rsid w:val="008F6AFE"/>
    <w:rsid w:val="008F6C76"/>
    <w:rsid w:val="008F6CEE"/>
    <w:rsid w:val="009004D0"/>
    <w:rsid w:val="00900FD8"/>
    <w:rsid w:val="009023C0"/>
    <w:rsid w:val="00905486"/>
    <w:rsid w:val="00905B25"/>
    <w:rsid w:val="009068EE"/>
    <w:rsid w:val="00911047"/>
    <w:rsid w:val="00912DAE"/>
    <w:rsid w:val="00912F5F"/>
    <w:rsid w:val="00913CEE"/>
    <w:rsid w:val="00914273"/>
    <w:rsid w:val="00914ECB"/>
    <w:rsid w:val="00915157"/>
    <w:rsid w:val="00915B03"/>
    <w:rsid w:val="00915D32"/>
    <w:rsid w:val="00916053"/>
    <w:rsid w:val="00916CF5"/>
    <w:rsid w:val="00916D22"/>
    <w:rsid w:val="00916D2F"/>
    <w:rsid w:val="009177E8"/>
    <w:rsid w:val="00920459"/>
    <w:rsid w:val="009221D3"/>
    <w:rsid w:val="00922D9B"/>
    <w:rsid w:val="00925412"/>
    <w:rsid w:val="009306DD"/>
    <w:rsid w:val="0093140B"/>
    <w:rsid w:val="00933347"/>
    <w:rsid w:val="0093582D"/>
    <w:rsid w:val="00935E15"/>
    <w:rsid w:val="00940993"/>
    <w:rsid w:val="009409D9"/>
    <w:rsid w:val="009418DF"/>
    <w:rsid w:val="009418EE"/>
    <w:rsid w:val="0094230F"/>
    <w:rsid w:val="00942333"/>
    <w:rsid w:val="009434D3"/>
    <w:rsid w:val="00943F12"/>
    <w:rsid w:val="009440C0"/>
    <w:rsid w:val="009448D9"/>
    <w:rsid w:val="00944982"/>
    <w:rsid w:val="0094516F"/>
    <w:rsid w:val="009457C9"/>
    <w:rsid w:val="00947064"/>
    <w:rsid w:val="009501E9"/>
    <w:rsid w:val="00951187"/>
    <w:rsid w:val="0095172D"/>
    <w:rsid w:val="00951734"/>
    <w:rsid w:val="00951E76"/>
    <w:rsid w:val="00953C39"/>
    <w:rsid w:val="0095496A"/>
    <w:rsid w:val="009559E1"/>
    <w:rsid w:val="009564B7"/>
    <w:rsid w:val="009610C8"/>
    <w:rsid w:val="0096408E"/>
    <w:rsid w:val="009649BE"/>
    <w:rsid w:val="00966106"/>
    <w:rsid w:val="0096658B"/>
    <w:rsid w:val="00967815"/>
    <w:rsid w:val="00970B4C"/>
    <w:rsid w:val="00970BC4"/>
    <w:rsid w:val="0097104D"/>
    <w:rsid w:val="00971ED6"/>
    <w:rsid w:val="00973623"/>
    <w:rsid w:val="00973C1D"/>
    <w:rsid w:val="009746DB"/>
    <w:rsid w:val="00974AE2"/>
    <w:rsid w:val="00975B71"/>
    <w:rsid w:val="009760C1"/>
    <w:rsid w:val="00980BB2"/>
    <w:rsid w:val="009811EB"/>
    <w:rsid w:val="00981335"/>
    <w:rsid w:val="00981B3C"/>
    <w:rsid w:val="00981FB4"/>
    <w:rsid w:val="00982F4A"/>
    <w:rsid w:val="00983621"/>
    <w:rsid w:val="00983852"/>
    <w:rsid w:val="00983DF7"/>
    <w:rsid w:val="00985123"/>
    <w:rsid w:val="00985B4D"/>
    <w:rsid w:val="009863B1"/>
    <w:rsid w:val="00986786"/>
    <w:rsid w:val="009875BB"/>
    <w:rsid w:val="009906F6"/>
    <w:rsid w:val="00991AD4"/>
    <w:rsid w:val="00992014"/>
    <w:rsid w:val="00992057"/>
    <w:rsid w:val="00993226"/>
    <w:rsid w:val="00993626"/>
    <w:rsid w:val="00994653"/>
    <w:rsid w:val="00995516"/>
    <w:rsid w:val="00995781"/>
    <w:rsid w:val="009958C9"/>
    <w:rsid w:val="00997046"/>
    <w:rsid w:val="009A19CC"/>
    <w:rsid w:val="009A28E7"/>
    <w:rsid w:val="009A2FF4"/>
    <w:rsid w:val="009A7FE0"/>
    <w:rsid w:val="009B1020"/>
    <w:rsid w:val="009B2A1F"/>
    <w:rsid w:val="009B4AC2"/>
    <w:rsid w:val="009B655E"/>
    <w:rsid w:val="009B7305"/>
    <w:rsid w:val="009C0472"/>
    <w:rsid w:val="009C06E2"/>
    <w:rsid w:val="009C2744"/>
    <w:rsid w:val="009C2A2C"/>
    <w:rsid w:val="009C2B75"/>
    <w:rsid w:val="009C407B"/>
    <w:rsid w:val="009C4B27"/>
    <w:rsid w:val="009C5763"/>
    <w:rsid w:val="009C74B5"/>
    <w:rsid w:val="009C74BD"/>
    <w:rsid w:val="009D05AC"/>
    <w:rsid w:val="009D3028"/>
    <w:rsid w:val="009D3276"/>
    <w:rsid w:val="009D32F4"/>
    <w:rsid w:val="009D3F34"/>
    <w:rsid w:val="009D573D"/>
    <w:rsid w:val="009D5B35"/>
    <w:rsid w:val="009D699E"/>
    <w:rsid w:val="009E0986"/>
    <w:rsid w:val="009E3F67"/>
    <w:rsid w:val="009E48C9"/>
    <w:rsid w:val="009E49A4"/>
    <w:rsid w:val="009E5D45"/>
    <w:rsid w:val="009E695A"/>
    <w:rsid w:val="009F2E32"/>
    <w:rsid w:val="009F412D"/>
    <w:rsid w:val="009F46EB"/>
    <w:rsid w:val="009F5693"/>
    <w:rsid w:val="009F5C43"/>
    <w:rsid w:val="009F5E5A"/>
    <w:rsid w:val="009F65D9"/>
    <w:rsid w:val="009F68FA"/>
    <w:rsid w:val="00A00518"/>
    <w:rsid w:val="00A01F84"/>
    <w:rsid w:val="00A02E45"/>
    <w:rsid w:val="00A02EAE"/>
    <w:rsid w:val="00A040CB"/>
    <w:rsid w:val="00A041DC"/>
    <w:rsid w:val="00A061F2"/>
    <w:rsid w:val="00A062C9"/>
    <w:rsid w:val="00A07C3E"/>
    <w:rsid w:val="00A07E29"/>
    <w:rsid w:val="00A10653"/>
    <w:rsid w:val="00A14026"/>
    <w:rsid w:val="00A1532F"/>
    <w:rsid w:val="00A16A11"/>
    <w:rsid w:val="00A1748E"/>
    <w:rsid w:val="00A17B34"/>
    <w:rsid w:val="00A2051C"/>
    <w:rsid w:val="00A20ED8"/>
    <w:rsid w:val="00A22585"/>
    <w:rsid w:val="00A23EB1"/>
    <w:rsid w:val="00A24E44"/>
    <w:rsid w:val="00A25964"/>
    <w:rsid w:val="00A25E1B"/>
    <w:rsid w:val="00A2630A"/>
    <w:rsid w:val="00A2635D"/>
    <w:rsid w:val="00A264BD"/>
    <w:rsid w:val="00A309E2"/>
    <w:rsid w:val="00A30DE1"/>
    <w:rsid w:val="00A3476A"/>
    <w:rsid w:val="00A371A8"/>
    <w:rsid w:val="00A372D7"/>
    <w:rsid w:val="00A41C96"/>
    <w:rsid w:val="00A42506"/>
    <w:rsid w:val="00A42814"/>
    <w:rsid w:val="00A42A41"/>
    <w:rsid w:val="00A4332C"/>
    <w:rsid w:val="00A446E5"/>
    <w:rsid w:val="00A46890"/>
    <w:rsid w:val="00A5305D"/>
    <w:rsid w:val="00A5455C"/>
    <w:rsid w:val="00A550F0"/>
    <w:rsid w:val="00A553B1"/>
    <w:rsid w:val="00A55D2C"/>
    <w:rsid w:val="00A56B0F"/>
    <w:rsid w:val="00A57351"/>
    <w:rsid w:val="00A574FC"/>
    <w:rsid w:val="00A606A2"/>
    <w:rsid w:val="00A60BA2"/>
    <w:rsid w:val="00A61048"/>
    <w:rsid w:val="00A61FD6"/>
    <w:rsid w:val="00A637DE"/>
    <w:rsid w:val="00A63EF5"/>
    <w:rsid w:val="00A64317"/>
    <w:rsid w:val="00A665BD"/>
    <w:rsid w:val="00A673CE"/>
    <w:rsid w:val="00A7019A"/>
    <w:rsid w:val="00A7183F"/>
    <w:rsid w:val="00A72290"/>
    <w:rsid w:val="00A72668"/>
    <w:rsid w:val="00A7287D"/>
    <w:rsid w:val="00A72C42"/>
    <w:rsid w:val="00A7304B"/>
    <w:rsid w:val="00A7352F"/>
    <w:rsid w:val="00A73BA1"/>
    <w:rsid w:val="00A73E10"/>
    <w:rsid w:val="00A75E22"/>
    <w:rsid w:val="00A76CB5"/>
    <w:rsid w:val="00A8167C"/>
    <w:rsid w:val="00A82E3B"/>
    <w:rsid w:val="00A83D69"/>
    <w:rsid w:val="00A8420C"/>
    <w:rsid w:val="00A84838"/>
    <w:rsid w:val="00A8487C"/>
    <w:rsid w:val="00A8541E"/>
    <w:rsid w:val="00A86296"/>
    <w:rsid w:val="00A901A9"/>
    <w:rsid w:val="00A90D84"/>
    <w:rsid w:val="00A90FA1"/>
    <w:rsid w:val="00A91366"/>
    <w:rsid w:val="00A91573"/>
    <w:rsid w:val="00A92BED"/>
    <w:rsid w:val="00A93695"/>
    <w:rsid w:val="00A93EE3"/>
    <w:rsid w:val="00AA1CE8"/>
    <w:rsid w:val="00AA1CF9"/>
    <w:rsid w:val="00AA1F63"/>
    <w:rsid w:val="00AA407B"/>
    <w:rsid w:val="00AA445C"/>
    <w:rsid w:val="00AA4BAA"/>
    <w:rsid w:val="00AA4D5D"/>
    <w:rsid w:val="00AA60B4"/>
    <w:rsid w:val="00AA756F"/>
    <w:rsid w:val="00AB16E8"/>
    <w:rsid w:val="00AB2569"/>
    <w:rsid w:val="00AB2769"/>
    <w:rsid w:val="00AB291F"/>
    <w:rsid w:val="00AB34CA"/>
    <w:rsid w:val="00AB46AF"/>
    <w:rsid w:val="00AB582C"/>
    <w:rsid w:val="00AB62F0"/>
    <w:rsid w:val="00AB67D1"/>
    <w:rsid w:val="00AB6AB6"/>
    <w:rsid w:val="00AB79B0"/>
    <w:rsid w:val="00AC0FFB"/>
    <w:rsid w:val="00AC21B8"/>
    <w:rsid w:val="00AC27BA"/>
    <w:rsid w:val="00AC36E2"/>
    <w:rsid w:val="00AC3C43"/>
    <w:rsid w:val="00AC40F8"/>
    <w:rsid w:val="00AC49B5"/>
    <w:rsid w:val="00AC4B6A"/>
    <w:rsid w:val="00AC5371"/>
    <w:rsid w:val="00AC570E"/>
    <w:rsid w:val="00AC596E"/>
    <w:rsid w:val="00AC5D85"/>
    <w:rsid w:val="00AC66ED"/>
    <w:rsid w:val="00AC687B"/>
    <w:rsid w:val="00AC746F"/>
    <w:rsid w:val="00AD127C"/>
    <w:rsid w:val="00AD1BFA"/>
    <w:rsid w:val="00AD1F1D"/>
    <w:rsid w:val="00AD2169"/>
    <w:rsid w:val="00AD3B3E"/>
    <w:rsid w:val="00AD542E"/>
    <w:rsid w:val="00AD6314"/>
    <w:rsid w:val="00AD694F"/>
    <w:rsid w:val="00AD7210"/>
    <w:rsid w:val="00AD73A8"/>
    <w:rsid w:val="00AD7F53"/>
    <w:rsid w:val="00AE3E11"/>
    <w:rsid w:val="00AE41FB"/>
    <w:rsid w:val="00AE4B15"/>
    <w:rsid w:val="00AE595D"/>
    <w:rsid w:val="00AF1D28"/>
    <w:rsid w:val="00AF31D3"/>
    <w:rsid w:val="00AF334A"/>
    <w:rsid w:val="00AF4A63"/>
    <w:rsid w:val="00AF4DBF"/>
    <w:rsid w:val="00AF51B7"/>
    <w:rsid w:val="00AF6ABA"/>
    <w:rsid w:val="00B00C54"/>
    <w:rsid w:val="00B01449"/>
    <w:rsid w:val="00B04F8D"/>
    <w:rsid w:val="00B05046"/>
    <w:rsid w:val="00B110D4"/>
    <w:rsid w:val="00B1173B"/>
    <w:rsid w:val="00B122C4"/>
    <w:rsid w:val="00B12E42"/>
    <w:rsid w:val="00B12E51"/>
    <w:rsid w:val="00B12FB3"/>
    <w:rsid w:val="00B13C56"/>
    <w:rsid w:val="00B147F7"/>
    <w:rsid w:val="00B1585C"/>
    <w:rsid w:val="00B15E60"/>
    <w:rsid w:val="00B16414"/>
    <w:rsid w:val="00B2064F"/>
    <w:rsid w:val="00B2087D"/>
    <w:rsid w:val="00B2279D"/>
    <w:rsid w:val="00B23335"/>
    <w:rsid w:val="00B23565"/>
    <w:rsid w:val="00B23A89"/>
    <w:rsid w:val="00B23FBC"/>
    <w:rsid w:val="00B24130"/>
    <w:rsid w:val="00B24E24"/>
    <w:rsid w:val="00B251B5"/>
    <w:rsid w:val="00B25434"/>
    <w:rsid w:val="00B25DD5"/>
    <w:rsid w:val="00B26407"/>
    <w:rsid w:val="00B27093"/>
    <w:rsid w:val="00B338D1"/>
    <w:rsid w:val="00B34184"/>
    <w:rsid w:val="00B350AD"/>
    <w:rsid w:val="00B36F22"/>
    <w:rsid w:val="00B3788C"/>
    <w:rsid w:val="00B405E2"/>
    <w:rsid w:val="00B4199C"/>
    <w:rsid w:val="00B4354B"/>
    <w:rsid w:val="00B4479F"/>
    <w:rsid w:val="00B45AB7"/>
    <w:rsid w:val="00B4734A"/>
    <w:rsid w:val="00B4772E"/>
    <w:rsid w:val="00B47BC6"/>
    <w:rsid w:val="00B50194"/>
    <w:rsid w:val="00B51081"/>
    <w:rsid w:val="00B5505B"/>
    <w:rsid w:val="00B55B2A"/>
    <w:rsid w:val="00B60041"/>
    <w:rsid w:val="00B613F8"/>
    <w:rsid w:val="00B61EC2"/>
    <w:rsid w:val="00B64259"/>
    <w:rsid w:val="00B64617"/>
    <w:rsid w:val="00B6497C"/>
    <w:rsid w:val="00B65368"/>
    <w:rsid w:val="00B65447"/>
    <w:rsid w:val="00B65537"/>
    <w:rsid w:val="00B66511"/>
    <w:rsid w:val="00B6662F"/>
    <w:rsid w:val="00B66A1A"/>
    <w:rsid w:val="00B66F11"/>
    <w:rsid w:val="00B70830"/>
    <w:rsid w:val="00B727F3"/>
    <w:rsid w:val="00B7294B"/>
    <w:rsid w:val="00B738D1"/>
    <w:rsid w:val="00B74211"/>
    <w:rsid w:val="00B775A9"/>
    <w:rsid w:val="00B77701"/>
    <w:rsid w:val="00B80CFA"/>
    <w:rsid w:val="00B81A43"/>
    <w:rsid w:val="00B8426E"/>
    <w:rsid w:val="00B85FA7"/>
    <w:rsid w:val="00B86047"/>
    <w:rsid w:val="00B86640"/>
    <w:rsid w:val="00B901AA"/>
    <w:rsid w:val="00B9045C"/>
    <w:rsid w:val="00B90816"/>
    <w:rsid w:val="00B91C8B"/>
    <w:rsid w:val="00B91E0D"/>
    <w:rsid w:val="00B947C9"/>
    <w:rsid w:val="00BA0910"/>
    <w:rsid w:val="00BA1283"/>
    <w:rsid w:val="00BA15D7"/>
    <w:rsid w:val="00BA2452"/>
    <w:rsid w:val="00BA3255"/>
    <w:rsid w:val="00BA32B9"/>
    <w:rsid w:val="00BA4A03"/>
    <w:rsid w:val="00BA6ADD"/>
    <w:rsid w:val="00BA70C8"/>
    <w:rsid w:val="00BA72BD"/>
    <w:rsid w:val="00BA7C5D"/>
    <w:rsid w:val="00BB11C7"/>
    <w:rsid w:val="00BB227E"/>
    <w:rsid w:val="00BB3B5E"/>
    <w:rsid w:val="00BB43D9"/>
    <w:rsid w:val="00BB4790"/>
    <w:rsid w:val="00BB4C0D"/>
    <w:rsid w:val="00BB51BD"/>
    <w:rsid w:val="00BB5EAB"/>
    <w:rsid w:val="00BC005F"/>
    <w:rsid w:val="00BC076C"/>
    <w:rsid w:val="00BC0DA4"/>
    <w:rsid w:val="00BC1D06"/>
    <w:rsid w:val="00BC1D71"/>
    <w:rsid w:val="00BC21B0"/>
    <w:rsid w:val="00BC278A"/>
    <w:rsid w:val="00BC2FAA"/>
    <w:rsid w:val="00BC32AE"/>
    <w:rsid w:val="00BC41C1"/>
    <w:rsid w:val="00BC4A35"/>
    <w:rsid w:val="00BC5ABE"/>
    <w:rsid w:val="00BC67DF"/>
    <w:rsid w:val="00BC709D"/>
    <w:rsid w:val="00BC7707"/>
    <w:rsid w:val="00BD0489"/>
    <w:rsid w:val="00BD0D20"/>
    <w:rsid w:val="00BD257D"/>
    <w:rsid w:val="00BD326D"/>
    <w:rsid w:val="00BD34A2"/>
    <w:rsid w:val="00BD3B68"/>
    <w:rsid w:val="00BD4D72"/>
    <w:rsid w:val="00BD509C"/>
    <w:rsid w:val="00BD5A56"/>
    <w:rsid w:val="00BD5AA2"/>
    <w:rsid w:val="00BD5B6A"/>
    <w:rsid w:val="00BD70BA"/>
    <w:rsid w:val="00BE0699"/>
    <w:rsid w:val="00BE0A45"/>
    <w:rsid w:val="00BE1A8B"/>
    <w:rsid w:val="00BE24CD"/>
    <w:rsid w:val="00BE29B9"/>
    <w:rsid w:val="00BE3BC8"/>
    <w:rsid w:val="00BE52D9"/>
    <w:rsid w:val="00BE562A"/>
    <w:rsid w:val="00BE5C06"/>
    <w:rsid w:val="00BF0AED"/>
    <w:rsid w:val="00BF0F00"/>
    <w:rsid w:val="00BF1B45"/>
    <w:rsid w:val="00BF2553"/>
    <w:rsid w:val="00BF2B98"/>
    <w:rsid w:val="00BF3032"/>
    <w:rsid w:val="00BF3591"/>
    <w:rsid w:val="00BF3AF6"/>
    <w:rsid w:val="00BF4C5D"/>
    <w:rsid w:val="00BF5582"/>
    <w:rsid w:val="00BF58B7"/>
    <w:rsid w:val="00C03C81"/>
    <w:rsid w:val="00C03E43"/>
    <w:rsid w:val="00C0412B"/>
    <w:rsid w:val="00C0593D"/>
    <w:rsid w:val="00C059AF"/>
    <w:rsid w:val="00C05F48"/>
    <w:rsid w:val="00C10415"/>
    <w:rsid w:val="00C104A9"/>
    <w:rsid w:val="00C10A7A"/>
    <w:rsid w:val="00C12DBD"/>
    <w:rsid w:val="00C13CD2"/>
    <w:rsid w:val="00C15AE5"/>
    <w:rsid w:val="00C167BD"/>
    <w:rsid w:val="00C16A2D"/>
    <w:rsid w:val="00C20046"/>
    <w:rsid w:val="00C21A7A"/>
    <w:rsid w:val="00C230A2"/>
    <w:rsid w:val="00C26048"/>
    <w:rsid w:val="00C26634"/>
    <w:rsid w:val="00C26956"/>
    <w:rsid w:val="00C27EE5"/>
    <w:rsid w:val="00C32093"/>
    <w:rsid w:val="00C3214A"/>
    <w:rsid w:val="00C3304F"/>
    <w:rsid w:val="00C33124"/>
    <w:rsid w:val="00C33CBF"/>
    <w:rsid w:val="00C34008"/>
    <w:rsid w:val="00C349A9"/>
    <w:rsid w:val="00C34C9A"/>
    <w:rsid w:val="00C34E18"/>
    <w:rsid w:val="00C350ED"/>
    <w:rsid w:val="00C3554C"/>
    <w:rsid w:val="00C35710"/>
    <w:rsid w:val="00C4011A"/>
    <w:rsid w:val="00C40D43"/>
    <w:rsid w:val="00C428AF"/>
    <w:rsid w:val="00C42C94"/>
    <w:rsid w:val="00C43735"/>
    <w:rsid w:val="00C4422C"/>
    <w:rsid w:val="00C44291"/>
    <w:rsid w:val="00C44D69"/>
    <w:rsid w:val="00C46553"/>
    <w:rsid w:val="00C46DC5"/>
    <w:rsid w:val="00C47111"/>
    <w:rsid w:val="00C477CF"/>
    <w:rsid w:val="00C477DF"/>
    <w:rsid w:val="00C477F1"/>
    <w:rsid w:val="00C47A8F"/>
    <w:rsid w:val="00C47FBF"/>
    <w:rsid w:val="00C50AE1"/>
    <w:rsid w:val="00C514EA"/>
    <w:rsid w:val="00C51701"/>
    <w:rsid w:val="00C5246D"/>
    <w:rsid w:val="00C53D56"/>
    <w:rsid w:val="00C53D7F"/>
    <w:rsid w:val="00C54ADF"/>
    <w:rsid w:val="00C568AA"/>
    <w:rsid w:val="00C56B96"/>
    <w:rsid w:val="00C570BC"/>
    <w:rsid w:val="00C57610"/>
    <w:rsid w:val="00C577EA"/>
    <w:rsid w:val="00C60BEB"/>
    <w:rsid w:val="00C61A3F"/>
    <w:rsid w:val="00C63201"/>
    <w:rsid w:val="00C63712"/>
    <w:rsid w:val="00C663B6"/>
    <w:rsid w:val="00C667E9"/>
    <w:rsid w:val="00C67C78"/>
    <w:rsid w:val="00C70049"/>
    <w:rsid w:val="00C717F7"/>
    <w:rsid w:val="00C73ED0"/>
    <w:rsid w:val="00C74E33"/>
    <w:rsid w:val="00C7664C"/>
    <w:rsid w:val="00C77A54"/>
    <w:rsid w:val="00C80672"/>
    <w:rsid w:val="00C813E6"/>
    <w:rsid w:val="00C81A3B"/>
    <w:rsid w:val="00C82BD3"/>
    <w:rsid w:val="00C83358"/>
    <w:rsid w:val="00C83CCD"/>
    <w:rsid w:val="00C8510F"/>
    <w:rsid w:val="00C856B2"/>
    <w:rsid w:val="00C86ED7"/>
    <w:rsid w:val="00C90AFD"/>
    <w:rsid w:val="00C921FD"/>
    <w:rsid w:val="00C96830"/>
    <w:rsid w:val="00C97AB7"/>
    <w:rsid w:val="00CA1A1E"/>
    <w:rsid w:val="00CA1ACA"/>
    <w:rsid w:val="00CA315C"/>
    <w:rsid w:val="00CA4052"/>
    <w:rsid w:val="00CA48E3"/>
    <w:rsid w:val="00CA5003"/>
    <w:rsid w:val="00CA62E2"/>
    <w:rsid w:val="00CA6A6E"/>
    <w:rsid w:val="00CA7CE4"/>
    <w:rsid w:val="00CB09B3"/>
    <w:rsid w:val="00CB153B"/>
    <w:rsid w:val="00CB1598"/>
    <w:rsid w:val="00CB29A8"/>
    <w:rsid w:val="00CB2C33"/>
    <w:rsid w:val="00CB3780"/>
    <w:rsid w:val="00CB3DE4"/>
    <w:rsid w:val="00CB6911"/>
    <w:rsid w:val="00CC00A2"/>
    <w:rsid w:val="00CC0E7A"/>
    <w:rsid w:val="00CC2312"/>
    <w:rsid w:val="00CC2B69"/>
    <w:rsid w:val="00CC348B"/>
    <w:rsid w:val="00CC3CDE"/>
    <w:rsid w:val="00CC5938"/>
    <w:rsid w:val="00CC5DD3"/>
    <w:rsid w:val="00CC620E"/>
    <w:rsid w:val="00CC6C74"/>
    <w:rsid w:val="00CD1158"/>
    <w:rsid w:val="00CD1C9B"/>
    <w:rsid w:val="00CD1FEF"/>
    <w:rsid w:val="00CD249E"/>
    <w:rsid w:val="00CD2F34"/>
    <w:rsid w:val="00CD42B8"/>
    <w:rsid w:val="00CD55AB"/>
    <w:rsid w:val="00CD5B9B"/>
    <w:rsid w:val="00CD6F39"/>
    <w:rsid w:val="00CD7ADC"/>
    <w:rsid w:val="00CE09C5"/>
    <w:rsid w:val="00CE1381"/>
    <w:rsid w:val="00CE1ED0"/>
    <w:rsid w:val="00CE3E05"/>
    <w:rsid w:val="00CE4416"/>
    <w:rsid w:val="00CE5046"/>
    <w:rsid w:val="00CE687C"/>
    <w:rsid w:val="00CE69A3"/>
    <w:rsid w:val="00CE78D6"/>
    <w:rsid w:val="00CE7FEB"/>
    <w:rsid w:val="00CF03F4"/>
    <w:rsid w:val="00CF1225"/>
    <w:rsid w:val="00CF1895"/>
    <w:rsid w:val="00CF212A"/>
    <w:rsid w:val="00CF2577"/>
    <w:rsid w:val="00CF2A03"/>
    <w:rsid w:val="00CF3252"/>
    <w:rsid w:val="00CF35B6"/>
    <w:rsid w:val="00CF3BC1"/>
    <w:rsid w:val="00CF4963"/>
    <w:rsid w:val="00CF61D7"/>
    <w:rsid w:val="00CF69DA"/>
    <w:rsid w:val="00CF6A96"/>
    <w:rsid w:val="00CF74C1"/>
    <w:rsid w:val="00D00003"/>
    <w:rsid w:val="00D00460"/>
    <w:rsid w:val="00D0055F"/>
    <w:rsid w:val="00D0095F"/>
    <w:rsid w:val="00D057FC"/>
    <w:rsid w:val="00D071B2"/>
    <w:rsid w:val="00D07DEE"/>
    <w:rsid w:val="00D07E7F"/>
    <w:rsid w:val="00D10035"/>
    <w:rsid w:val="00D10680"/>
    <w:rsid w:val="00D1069D"/>
    <w:rsid w:val="00D10A49"/>
    <w:rsid w:val="00D112BA"/>
    <w:rsid w:val="00D11A1F"/>
    <w:rsid w:val="00D12D16"/>
    <w:rsid w:val="00D13566"/>
    <w:rsid w:val="00D1366B"/>
    <w:rsid w:val="00D13E26"/>
    <w:rsid w:val="00D15967"/>
    <w:rsid w:val="00D16131"/>
    <w:rsid w:val="00D1690B"/>
    <w:rsid w:val="00D173D4"/>
    <w:rsid w:val="00D21CDF"/>
    <w:rsid w:val="00D23AE5"/>
    <w:rsid w:val="00D23B61"/>
    <w:rsid w:val="00D2402E"/>
    <w:rsid w:val="00D24CAB"/>
    <w:rsid w:val="00D273B6"/>
    <w:rsid w:val="00D3050C"/>
    <w:rsid w:val="00D30B96"/>
    <w:rsid w:val="00D30FCE"/>
    <w:rsid w:val="00D3218A"/>
    <w:rsid w:val="00D34A46"/>
    <w:rsid w:val="00D403E6"/>
    <w:rsid w:val="00D4534E"/>
    <w:rsid w:val="00D45B8E"/>
    <w:rsid w:val="00D462DE"/>
    <w:rsid w:val="00D46308"/>
    <w:rsid w:val="00D46889"/>
    <w:rsid w:val="00D4724D"/>
    <w:rsid w:val="00D47C29"/>
    <w:rsid w:val="00D51779"/>
    <w:rsid w:val="00D51E81"/>
    <w:rsid w:val="00D51E9C"/>
    <w:rsid w:val="00D5278D"/>
    <w:rsid w:val="00D54023"/>
    <w:rsid w:val="00D5420E"/>
    <w:rsid w:val="00D54A32"/>
    <w:rsid w:val="00D561C8"/>
    <w:rsid w:val="00D56460"/>
    <w:rsid w:val="00D5718E"/>
    <w:rsid w:val="00D601C9"/>
    <w:rsid w:val="00D60C33"/>
    <w:rsid w:val="00D633ED"/>
    <w:rsid w:val="00D63CD9"/>
    <w:rsid w:val="00D63FB4"/>
    <w:rsid w:val="00D663B2"/>
    <w:rsid w:val="00D67141"/>
    <w:rsid w:val="00D679DC"/>
    <w:rsid w:val="00D679EB"/>
    <w:rsid w:val="00D747AD"/>
    <w:rsid w:val="00D75C65"/>
    <w:rsid w:val="00D76682"/>
    <w:rsid w:val="00D7795D"/>
    <w:rsid w:val="00D77C62"/>
    <w:rsid w:val="00D8024B"/>
    <w:rsid w:val="00D80BCD"/>
    <w:rsid w:val="00D80E07"/>
    <w:rsid w:val="00D82BF0"/>
    <w:rsid w:val="00D83778"/>
    <w:rsid w:val="00D84E5B"/>
    <w:rsid w:val="00D8506E"/>
    <w:rsid w:val="00D858DF"/>
    <w:rsid w:val="00D86AE9"/>
    <w:rsid w:val="00D86D85"/>
    <w:rsid w:val="00D87203"/>
    <w:rsid w:val="00D901B3"/>
    <w:rsid w:val="00D903CB"/>
    <w:rsid w:val="00D90BBF"/>
    <w:rsid w:val="00D91209"/>
    <w:rsid w:val="00D915A2"/>
    <w:rsid w:val="00D918BC"/>
    <w:rsid w:val="00D91977"/>
    <w:rsid w:val="00D91D52"/>
    <w:rsid w:val="00D9236F"/>
    <w:rsid w:val="00D93069"/>
    <w:rsid w:val="00D945ED"/>
    <w:rsid w:val="00D9506A"/>
    <w:rsid w:val="00D953A9"/>
    <w:rsid w:val="00D95D1E"/>
    <w:rsid w:val="00D96D5F"/>
    <w:rsid w:val="00DA0605"/>
    <w:rsid w:val="00DA1747"/>
    <w:rsid w:val="00DA18F2"/>
    <w:rsid w:val="00DA1A1D"/>
    <w:rsid w:val="00DA3597"/>
    <w:rsid w:val="00DA3F5D"/>
    <w:rsid w:val="00DA54A8"/>
    <w:rsid w:val="00DA64C8"/>
    <w:rsid w:val="00DA674A"/>
    <w:rsid w:val="00DA7721"/>
    <w:rsid w:val="00DA799E"/>
    <w:rsid w:val="00DB0E3F"/>
    <w:rsid w:val="00DB1B46"/>
    <w:rsid w:val="00DB2861"/>
    <w:rsid w:val="00DB40B2"/>
    <w:rsid w:val="00DB6C22"/>
    <w:rsid w:val="00DB76D6"/>
    <w:rsid w:val="00DB7880"/>
    <w:rsid w:val="00DC0403"/>
    <w:rsid w:val="00DC0EF9"/>
    <w:rsid w:val="00DC1510"/>
    <w:rsid w:val="00DC25FE"/>
    <w:rsid w:val="00DC2D35"/>
    <w:rsid w:val="00DC367B"/>
    <w:rsid w:val="00DC3A8A"/>
    <w:rsid w:val="00DC55E6"/>
    <w:rsid w:val="00DC5BC0"/>
    <w:rsid w:val="00DD069D"/>
    <w:rsid w:val="00DD2A53"/>
    <w:rsid w:val="00DD4294"/>
    <w:rsid w:val="00DD651D"/>
    <w:rsid w:val="00DD706E"/>
    <w:rsid w:val="00DE0403"/>
    <w:rsid w:val="00DE4193"/>
    <w:rsid w:val="00DE428E"/>
    <w:rsid w:val="00DE54BB"/>
    <w:rsid w:val="00DE55BD"/>
    <w:rsid w:val="00DE57C3"/>
    <w:rsid w:val="00DE5ECE"/>
    <w:rsid w:val="00DE6337"/>
    <w:rsid w:val="00DE740A"/>
    <w:rsid w:val="00DE7E39"/>
    <w:rsid w:val="00DF1235"/>
    <w:rsid w:val="00DF23D2"/>
    <w:rsid w:val="00DF2C69"/>
    <w:rsid w:val="00DF2F4A"/>
    <w:rsid w:val="00DF33C9"/>
    <w:rsid w:val="00DF38BF"/>
    <w:rsid w:val="00DF3D11"/>
    <w:rsid w:val="00DF3E76"/>
    <w:rsid w:val="00DF3EA1"/>
    <w:rsid w:val="00DF7217"/>
    <w:rsid w:val="00E0036B"/>
    <w:rsid w:val="00E0040B"/>
    <w:rsid w:val="00E00C55"/>
    <w:rsid w:val="00E01471"/>
    <w:rsid w:val="00E0269D"/>
    <w:rsid w:val="00E027A3"/>
    <w:rsid w:val="00E04222"/>
    <w:rsid w:val="00E04822"/>
    <w:rsid w:val="00E05768"/>
    <w:rsid w:val="00E06727"/>
    <w:rsid w:val="00E10488"/>
    <w:rsid w:val="00E1102F"/>
    <w:rsid w:val="00E11460"/>
    <w:rsid w:val="00E12B42"/>
    <w:rsid w:val="00E13362"/>
    <w:rsid w:val="00E14480"/>
    <w:rsid w:val="00E16BB7"/>
    <w:rsid w:val="00E17A2D"/>
    <w:rsid w:val="00E17CD5"/>
    <w:rsid w:val="00E202BE"/>
    <w:rsid w:val="00E210BD"/>
    <w:rsid w:val="00E21BB5"/>
    <w:rsid w:val="00E22B09"/>
    <w:rsid w:val="00E23CE2"/>
    <w:rsid w:val="00E253BE"/>
    <w:rsid w:val="00E25845"/>
    <w:rsid w:val="00E279E2"/>
    <w:rsid w:val="00E3051C"/>
    <w:rsid w:val="00E31FA3"/>
    <w:rsid w:val="00E3344C"/>
    <w:rsid w:val="00E33D75"/>
    <w:rsid w:val="00E37CC4"/>
    <w:rsid w:val="00E40661"/>
    <w:rsid w:val="00E41128"/>
    <w:rsid w:val="00E411C6"/>
    <w:rsid w:val="00E415E4"/>
    <w:rsid w:val="00E417FB"/>
    <w:rsid w:val="00E41C11"/>
    <w:rsid w:val="00E42C2D"/>
    <w:rsid w:val="00E43938"/>
    <w:rsid w:val="00E442D2"/>
    <w:rsid w:val="00E44931"/>
    <w:rsid w:val="00E47103"/>
    <w:rsid w:val="00E478FA"/>
    <w:rsid w:val="00E47C10"/>
    <w:rsid w:val="00E50BAD"/>
    <w:rsid w:val="00E51415"/>
    <w:rsid w:val="00E516AF"/>
    <w:rsid w:val="00E51FD1"/>
    <w:rsid w:val="00E52159"/>
    <w:rsid w:val="00E52384"/>
    <w:rsid w:val="00E53121"/>
    <w:rsid w:val="00E53CCE"/>
    <w:rsid w:val="00E55725"/>
    <w:rsid w:val="00E55CC3"/>
    <w:rsid w:val="00E56826"/>
    <w:rsid w:val="00E56E40"/>
    <w:rsid w:val="00E6136A"/>
    <w:rsid w:val="00E61928"/>
    <w:rsid w:val="00E61958"/>
    <w:rsid w:val="00E62E2D"/>
    <w:rsid w:val="00E635E3"/>
    <w:rsid w:val="00E6492B"/>
    <w:rsid w:val="00E70745"/>
    <w:rsid w:val="00E716B3"/>
    <w:rsid w:val="00E71C64"/>
    <w:rsid w:val="00E72939"/>
    <w:rsid w:val="00E730B6"/>
    <w:rsid w:val="00E73858"/>
    <w:rsid w:val="00E74739"/>
    <w:rsid w:val="00E749D2"/>
    <w:rsid w:val="00E75338"/>
    <w:rsid w:val="00E75BC9"/>
    <w:rsid w:val="00E76E7E"/>
    <w:rsid w:val="00E772EF"/>
    <w:rsid w:val="00E772FD"/>
    <w:rsid w:val="00E80DA4"/>
    <w:rsid w:val="00E820BC"/>
    <w:rsid w:val="00E83184"/>
    <w:rsid w:val="00E851FA"/>
    <w:rsid w:val="00E85360"/>
    <w:rsid w:val="00E85553"/>
    <w:rsid w:val="00E86648"/>
    <w:rsid w:val="00E86C87"/>
    <w:rsid w:val="00E87218"/>
    <w:rsid w:val="00E90A62"/>
    <w:rsid w:val="00E91AE1"/>
    <w:rsid w:val="00E92169"/>
    <w:rsid w:val="00E9227B"/>
    <w:rsid w:val="00E92990"/>
    <w:rsid w:val="00E92ADA"/>
    <w:rsid w:val="00E9431B"/>
    <w:rsid w:val="00E956C3"/>
    <w:rsid w:val="00E97276"/>
    <w:rsid w:val="00E97A5F"/>
    <w:rsid w:val="00EA1E0D"/>
    <w:rsid w:val="00EA5741"/>
    <w:rsid w:val="00EA598D"/>
    <w:rsid w:val="00EA6099"/>
    <w:rsid w:val="00EA7F8A"/>
    <w:rsid w:val="00EB1514"/>
    <w:rsid w:val="00EB226B"/>
    <w:rsid w:val="00EB4F3B"/>
    <w:rsid w:val="00EB5081"/>
    <w:rsid w:val="00EB522A"/>
    <w:rsid w:val="00EB6882"/>
    <w:rsid w:val="00EB6ACF"/>
    <w:rsid w:val="00EB7073"/>
    <w:rsid w:val="00EB70D9"/>
    <w:rsid w:val="00EC0625"/>
    <w:rsid w:val="00EC2AA8"/>
    <w:rsid w:val="00EC4B96"/>
    <w:rsid w:val="00EC56F4"/>
    <w:rsid w:val="00EC7A40"/>
    <w:rsid w:val="00ED00E7"/>
    <w:rsid w:val="00ED19A7"/>
    <w:rsid w:val="00ED2513"/>
    <w:rsid w:val="00EE104C"/>
    <w:rsid w:val="00EE1578"/>
    <w:rsid w:val="00EE15F0"/>
    <w:rsid w:val="00EE226B"/>
    <w:rsid w:val="00EE3989"/>
    <w:rsid w:val="00EE3A1A"/>
    <w:rsid w:val="00EE49A3"/>
    <w:rsid w:val="00EE5338"/>
    <w:rsid w:val="00EE7BAB"/>
    <w:rsid w:val="00EE7D41"/>
    <w:rsid w:val="00EF04E6"/>
    <w:rsid w:val="00F005B9"/>
    <w:rsid w:val="00F01CC8"/>
    <w:rsid w:val="00F021C8"/>
    <w:rsid w:val="00F02E5A"/>
    <w:rsid w:val="00F03ED6"/>
    <w:rsid w:val="00F042BC"/>
    <w:rsid w:val="00F0441F"/>
    <w:rsid w:val="00F0454D"/>
    <w:rsid w:val="00F046CC"/>
    <w:rsid w:val="00F0474D"/>
    <w:rsid w:val="00F05D05"/>
    <w:rsid w:val="00F06521"/>
    <w:rsid w:val="00F0771E"/>
    <w:rsid w:val="00F07836"/>
    <w:rsid w:val="00F13970"/>
    <w:rsid w:val="00F15B51"/>
    <w:rsid w:val="00F15EFC"/>
    <w:rsid w:val="00F16844"/>
    <w:rsid w:val="00F16BBF"/>
    <w:rsid w:val="00F20CD1"/>
    <w:rsid w:val="00F21047"/>
    <w:rsid w:val="00F22B28"/>
    <w:rsid w:val="00F23F3F"/>
    <w:rsid w:val="00F23F66"/>
    <w:rsid w:val="00F24554"/>
    <w:rsid w:val="00F313B2"/>
    <w:rsid w:val="00F322AB"/>
    <w:rsid w:val="00F368C6"/>
    <w:rsid w:val="00F3693E"/>
    <w:rsid w:val="00F36981"/>
    <w:rsid w:val="00F36B36"/>
    <w:rsid w:val="00F3764F"/>
    <w:rsid w:val="00F41100"/>
    <w:rsid w:val="00F426D5"/>
    <w:rsid w:val="00F427CD"/>
    <w:rsid w:val="00F42979"/>
    <w:rsid w:val="00F4405B"/>
    <w:rsid w:val="00F4439D"/>
    <w:rsid w:val="00F447EA"/>
    <w:rsid w:val="00F44C4C"/>
    <w:rsid w:val="00F454B4"/>
    <w:rsid w:val="00F457B5"/>
    <w:rsid w:val="00F45E57"/>
    <w:rsid w:val="00F47BE9"/>
    <w:rsid w:val="00F47C53"/>
    <w:rsid w:val="00F504F6"/>
    <w:rsid w:val="00F5270D"/>
    <w:rsid w:val="00F529EF"/>
    <w:rsid w:val="00F54A1A"/>
    <w:rsid w:val="00F57397"/>
    <w:rsid w:val="00F61547"/>
    <w:rsid w:val="00F62C22"/>
    <w:rsid w:val="00F63182"/>
    <w:rsid w:val="00F6404E"/>
    <w:rsid w:val="00F640C7"/>
    <w:rsid w:val="00F65F9B"/>
    <w:rsid w:val="00F66F0F"/>
    <w:rsid w:val="00F6756A"/>
    <w:rsid w:val="00F70094"/>
    <w:rsid w:val="00F70FDE"/>
    <w:rsid w:val="00F71DE8"/>
    <w:rsid w:val="00F72058"/>
    <w:rsid w:val="00F7226B"/>
    <w:rsid w:val="00F7283A"/>
    <w:rsid w:val="00F73587"/>
    <w:rsid w:val="00F74735"/>
    <w:rsid w:val="00F749DD"/>
    <w:rsid w:val="00F75327"/>
    <w:rsid w:val="00F75545"/>
    <w:rsid w:val="00F76A12"/>
    <w:rsid w:val="00F76B71"/>
    <w:rsid w:val="00F800D6"/>
    <w:rsid w:val="00F8350C"/>
    <w:rsid w:val="00F854A2"/>
    <w:rsid w:val="00F8588F"/>
    <w:rsid w:val="00F861AC"/>
    <w:rsid w:val="00F86CED"/>
    <w:rsid w:val="00F87DEF"/>
    <w:rsid w:val="00F934D3"/>
    <w:rsid w:val="00F93524"/>
    <w:rsid w:val="00F95169"/>
    <w:rsid w:val="00F961C1"/>
    <w:rsid w:val="00F96E6A"/>
    <w:rsid w:val="00F97B0D"/>
    <w:rsid w:val="00FA006F"/>
    <w:rsid w:val="00FA0C90"/>
    <w:rsid w:val="00FA1AE3"/>
    <w:rsid w:val="00FA4A1A"/>
    <w:rsid w:val="00FA5956"/>
    <w:rsid w:val="00FA6ED8"/>
    <w:rsid w:val="00FA6F7D"/>
    <w:rsid w:val="00FA784C"/>
    <w:rsid w:val="00FA798B"/>
    <w:rsid w:val="00FB0E75"/>
    <w:rsid w:val="00FB1056"/>
    <w:rsid w:val="00FB4166"/>
    <w:rsid w:val="00FB782D"/>
    <w:rsid w:val="00FB7B63"/>
    <w:rsid w:val="00FC06E4"/>
    <w:rsid w:val="00FC2B4D"/>
    <w:rsid w:val="00FC2F4B"/>
    <w:rsid w:val="00FC44B8"/>
    <w:rsid w:val="00FC4A96"/>
    <w:rsid w:val="00FC54DC"/>
    <w:rsid w:val="00FC5CD9"/>
    <w:rsid w:val="00FC7069"/>
    <w:rsid w:val="00FD0A19"/>
    <w:rsid w:val="00FD1851"/>
    <w:rsid w:val="00FD19DF"/>
    <w:rsid w:val="00FD24D0"/>
    <w:rsid w:val="00FD4ECE"/>
    <w:rsid w:val="00FD585A"/>
    <w:rsid w:val="00FD587B"/>
    <w:rsid w:val="00FD5F0C"/>
    <w:rsid w:val="00FE088E"/>
    <w:rsid w:val="00FE2E58"/>
    <w:rsid w:val="00FE6130"/>
    <w:rsid w:val="00FE64A9"/>
    <w:rsid w:val="00FE66B9"/>
    <w:rsid w:val="00FE7B44"/>
    <w:rsid w:val="00FF0047"/>
    <w:rsid w:val="00FF14B6"/>
    <w:rsid w:val="00FF2BA0"/>
    <w:rsid w:val="00FF2FA1"/>
    <w:rsid w:val="00FF5168"/>
    <w:rsid w:val="00FF5187"/>
    <w:rsid w:val="00FF53D0"/>
    <w:rsid w:val="00FF6155"/>
    <w:rsid w:val="00FF733F"/>
    <w:rsid w:val="00FF7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link w:val="ListParagraph"/>
    <w:uiPriority w:val="34"/>
    <w:qFormat/>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UnresolvedMention1">
    <w:name w:val="Unresolved Mention1"/>
    <w:uiPriority w:val="99"/>
    <w:semiHidden/>
    <w:unhideWhenUsed/>
    <w:rsid w:val="002E7F21"/>
    <w:rPr>
      <w:color w:val="605E5C"/>
      <w:shd w:val="clear" w:color="auto" w:fill="E1DFDD"/>
    </w:rPr>
  </w:style>
  <w:style w:type="character" w:customStyle="1" w:styleId="textwebstyledtext-sc-1uxddwr-0">
    <w:name w:val="textweb__styledtext-sc-1uxddwr-0"/>
    <w:basedOn w:val="DefaultParagraphFont"/>
    <w:rsid w:val="002E7F21"/>
  </w:style>
  <w:style w:type="character" w:styleId="SubtleEmphasis">
    <w:name w:val="Subtle Emphasis"/>
    <w:basedOn w:val="DefaultParagraphFont"/>
    <w:uiPriority w:val="19"/>
    <w:qFormat/>
    <w:rsid w:val="002E7F21"/>
    <w:rPr>
      <w:i/>
      <w:iCs/>
      <w:color w:val="808080" w:themeColor="text1" w:themeTint="7F"/>
    </w:rPr>
  </w:style>
  <w:style w:type="table" w:customStyle="1" w:styleId="TableGrid1">
    <w:name w:val="Table Grid1"/>
    <w:basedOn w:val="TableNormal"/>
    <w:next w:val="TableGrid"/>
    <w:uiPriority w:val="59"/>
    <w:rsid w:val="00980BB2"/>
    <w:rPr>
      <w:rFonts w:ascii="Calibri" w:eastAsia="Calibri"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184297737">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06934940">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01336528">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46826587">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6i1.112"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4965</TotalTime>
  <Pages>10</Pages>
  <Words>10437</Words>
  <Characters>59492</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69790</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1044</cp:revision>
  <cp:lastPrinted>2023-12-14T05:54:00Z</cp:lastPrinted>
  <dcterms:created xsi:type="dcterms:W3CDTF">2023-01-24T15:33:00Z</dcterms:created>
  <dcterms:modified xsi:type="dcterms:W3CDTF">2024-07-10T13:35:00Z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