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Ex1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8E37" w14:textId="61CE5158" w:rsidR="00094409" w:rsidRPr="00DC5238" w:rsidRDefault="00094409" w:rsidP="00094409">
      <w:pPr>
        <w:jc w:val="center"/>
        <w:rPr>
          <w:b/>
          <w:bCs/>
          <w:sz w:val="40"/>
          <w:szCs w:val="40"/>
          <w:u w:val="single"/>
        </w:rPr>
      </w:pPr>
      <w:r w:rsidRPr="00DC5238">
        <w:rPr>
          <w:b/>
          <w:bCs/>
          <w:sz w:val="40"/>
          <w:szCs w:val="40"/>
          <w:u w:val="single"/>
        </w:rPr>
        <w:t xml:space="preserve">DATA EXPLORATION </w:t>
      </w:r>
      <w:r w:rsidR="007E48B3">
        <w:rPr>
          <w:b/>
          <w:bCs/>
          <w:sz w:val="40"/>
          <w:szCs w:val="40"/>
          <w:u w:val="single"/>
        </w:rPr>
        <w:t>Project Part</w:t>
      </w:r>
      <w:r w:rsidRPr="00DC5238">
        <w:rPr>
          <w:b/>
          <w:bCs/>
          <w:sz w:val="40"/>
          <w:szCs w:val="40"/>
          <w:u w:val="single"/>
        </w:rPr>
        <w:t xml:space="preserve">1 </w:t>
      </w:r>
    </w:p>
    <w:p w14:paraId="5822D409" w14:textId="77777777" w:rsidR="00094409" w:rsidRPr="00DC5238" w:rsidRDefault="00094409" w:rsidP="00094409">
      <w:pPr>
        <w:jc w:val="center"/>
        <w:rPr>
          <w:b/>
          <w:bCs/>
          <w:sz w:val="40"/>
          <w:szCs w:val="40"/>
          <w:u w:val="single"/>
        </w:rPr>
      </w:pPr>
      <w:r w:rsidRPr="00DC5238">
        <w:rPr>
          <w:b/>
          <w:bCs/>
          <w:sz w:val="40"/>
          <w:szCs w:val="40"/>
          <w:u w:val="single"/>
        </w:rPr>
        <w:t>Submitted by</w:t>
      </w:r>
    </w:p>
    <w:p w14:paraId="4B2D3802" w14:textId="616C65B3" w:rsidR="00094409" w:rsidRPr="00DC5238" w:rsidRDefault="00094409" w:rsidP="00094409">
      <w:pPr>
        <w:jc w:val="center"/>
        <w:rPr>
          <w:b/>
          <w:bCs/>
          <w:sz w:val="40"/>
          <w:szCs w:val="40"/>
          <w:u w:val="single"/>
        </w:rPr>
      </w:pPr>
      <w:r w:rsidRPr="00DC5238">
        <w:rPr>
          <w:b/>
          <w:bCs/>
          <w:sz w:val="40"/>
          <w:szCs w:val="40"/>
          <w:u w:val="single"/>
        </w:rPr>
        <w:t xml:space="preserve">Habeeb Omotunde, 200584861 </w:t>
      </w:r>
    </w:p>
    <w:p w14:paraId="3E755831" w14:textId="77777777" w:rsidR="00236CC1" w:rsidRDefault="00236CC1" w:rsidP="00AA5CEA"/>
    <w:p w14:paraId="4473321D" w14:textId="13DB7873" w:rsidR="00A10DE4" w:rsidRPr="00A10DE4" w:rsidRDefault="00A10DE4" w:rsidP="00A10DE4">
      <w:pPr>
        <w:pStyle w:val="ListParagraph"/>
        <w:numPr>
          <w:ilvl w:val="0"/>
          <w:numId w:val="2"/>
        </w:numPr>
        <w:rPr>
          <w:b/>
          <w:bCs/>
        </w:rPr>
      </w:pPr>
      <w:r w:rsidRPr="00A10DE4">
        <w:rPr>
          <w:b/>
          <w:bCs/>
        </w:rPr>
        <w:t>Introduction</w:t>
      </w:r>
    </w:p>
    <w:p w14:paraId="2AA40C99" w14:textId="77777777" w:rsidR="00F043EA" w:rsidRDefault="00036DC3" w:rsidP="00F043EA">
      <w:pPr>
        <w:ind w:left="720"/>
        <w:jc w:val="both"/>
      </w:pPr>
      <w:r>
        <w:t xml:space="preserve">The data set of interest is the Scimago journal ranking </w:t>
      </w:r>
      <w:r w:rsidR="008C105C">
        <w:t xml:space="preserve">for the year 2022 which was sourced from </w:t>
      </w:r>
      <w:hyperlink r:id="rId5" w:history="1">
        <w:r w:rsidR="00E27C48" w:rsidRPr="00E27C48">
          <w:rPr>
            <w:rStyle w:val="Hyperlink"/>
          </w:rPr>
          <w:t>here</w:t>
        </w:r>
      </w:hyperlink>
      <w:r w:rsidR="00E27C48">
        <w:t>.</w:t>
      </w:r>
    </w:p>
    <w:p w14:paraId="2B18E49D" w14:textId="77777777" w:rsidR="0023771B" w:rsidRDefault="00DB601D" w:rsidP="0023771B">
      <w:pPr>
        <w:ind w:left="720"/>
        <w:jc w:val="both"/>
      </w:pPr>
      <w:r>
        <w:t xml:space="preserve">Curated from Scopus database, </w:t>
      </w:r>
      <w:r w:rsidR="00035721">
        <w:t xml:space="preserve">It captures </w:t>
      </w:r>
      <w:r w:rsidR="000E11DD">
        <w:t>data</w:t>
      </w:r>
      <w:r w:rsidR="00035721">
        <w:t xml:space="preserve"> about </w:t>
      </w:r>
      <w:r w:rsidR="005F1146">
        <w:t xml:space="preserve">journal distribution </w:t>
      </w:r>
      <w:r w:rsidR="000E11DD">
        <w:t xml:space="preserve">across </w:t>
      </w:r>
      <w:r w:rsidR="005F1146">
        <w:t>countries</w:t>
      </w:r>
      <w:r w:rsidR="00843F58">
        <w:t xml:space="preserve"> </w:t>
      </w:r>
      <w:r w:rsidR="000E11DD">
        <w:t xml:space="preserve">and </w:t>
      </w:r>
      <w:r w:rsidR="00843F58">
        <w:t xml:space="preserve">different </w:t>
      </w:r>
      <w:r w:rsidR="001F3486">
        <w:t>fields</w:t>
      </w:r>
      <w:r w:rsidR="00843F58">
        <w:t xml:space="preserve"> of science</w:t>
      </w:r>
      <w:r w:rsidR="00CD7D8D">
        <w:t xml:space="preserve"> including various metrics</w:t>
      </w:r>
      <w:r w:rsidR="00561C4C">
        <w:t>, such as H-Index, Scimago Journal Rank</w:t>
      </w:r>
      <w:r w:rsidR="001F3486">
        <w:t>, References per document etc.</w:t>
      </w:r>
      <w:r w:rsidR="009465CE">
        <w:t xml:space="preserve"> These insight</w:t>
      </w:r>
      <w:r w:rsidR="00227A90">
        <w:t>s</w:t>
      </w:r>
      <w:r w:rsidR="00CD7D8D">
        <w:t xml:space="preserve"> aid ranking of every journal </w:t>
      </w:r>
      <w:r w:rsidR="00255696">
        <w:t xml:space="preserve">over </w:t>
      </w:r>
      <w:r w:rsidR="001F3486">
        <w:t>a period</w:t>
      </w:r>
      <w:r w:rsidR="006009E1">
        <w:t xml:space="preserve"> of time</w:t>
      </w:r>
      <w:r w:rsidR="00255696">
        <w:t>.</w:t>
      </w:r>
    </w:p>
    <w:p w14:paraId="04342671" w14:textId="3CC53CBC" w:rsidR="00E27C48" w:rsidRDefault="00E27C48" w:rsidP="0023771B">
      <w:pPr>
        <w:ind w:left="720"/>
        <w:jc w:val="both"/>
      </w:pPr>
      <w:r>
        <w:t xml:space="preserve">The CSV file has a total of </w:t>
      </w:r>
      <w:r w:rsidR="00F10F3C">
        <w:t xml:space="preserve">27, 995 observations with 21 variables </w:t>
      </w:r>
      <w:r w:rsidR="003648C0">
        <w:t xml:space="preserve">with details provided in the table </w:t>
      </w:r>
      <w:r w:rsidR="00D249B8">
        <w:t>(</w:t>
      </w:r>
      <w:r w:rsidR="001F31AE">
        <w:t>d</w:t>
      </w:r>
      <w:r w:rsidR="00D249B8">
        <w:t xml:space="preserve">ata dictionary) </w:t>
      </w:r>
      <w:r w:rsidR="003648C0">
        <w:t>below.</w:t>
      </w:r>
      <w:r w:rsidR="00577EC4">
        <w:t xml:space="preserve"> A full description of the data dictionary is </w:t>
      </w:r>
      <w:r w:rsidR="005C1B9E">
        <w:t>provided in the</w:t>
      </w:r>
      <w:r w:rsidR="00577EC4">
        <w:t xml:space="preserve"> attached excel spreadsheet</w:t>
      </w:r>
      <w:r w:rsidR="005C1B9E">
        <w:t>.</w:t>
      </w:r>
    </w:p>
    <w:p w14:paraId="724AE90C" w14:textId="77777777" w:rsidR="003648C0" w:rsidRDefault="003648C0" w:rsidP="00AA5CEA"/>
    <w:tbl>
      <w:tblPr>
        <w:tblW w:w="10075" w:type="dxa"/>
        <w:tblLook w:val="04A0" w:firstRow="1" w:lastRow="0" w:firstColumn="1" w:lastColumn="0" w:noHBand="0" w:noVBand="1"/>
      </w:tblPr>
      <w:tblGrid>
        <w:gridCol w:w="625"/>
        <w:gridCol w:w="2248"/>
        <w:gridCol w:w="4502"/>
        <w:gridCol w:w="1273"/>
        <w:gridCol w:w="1427"/>
      </w:tblGrid>
      <w:tr w:rsidR="00D67055" w:rsidRPr="00D67055" w14:paraId="63264EFC" w14:textId="77777777" w:rsidTr="005C1B9E">
        <w:trPr>
          <w:trHeight w:val="30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47EA2F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  <w:t>#</w: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EFE558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  <w:t>Variable</w:t>
            </w:r>
          </w:p>
        </w:tc>
        <w:tc>
          <w:tcPr>
            <w:tcW w:w="4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3E1365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  <w:t>Description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7AECE6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  <w:t>Type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DEF9E9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FF0000"/>
                <w:kern w:val="0"/>
                <w14:ligatures w14:val="none"/>
              </w:rPr>
              <w:t>Dependency</w:t>
            </w:r>
          </w:p>
        </w:tc>
      </w:tr>
      <w:tr w:rsidR="00CB19E1" w:rsidRPr="00D67055" w14:paraId="23BF5793" w14:textId="77777777" w:rsidTr="005C1B9E">
        <w:trPr>
          <w:trHeight w:val="9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116C0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2B198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Rank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3F8FF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variable represents the hierarchy of the journal relative to other journals in the observation depending on the SJR Value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4343D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Categorical, Ordinal.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4EDB1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7344AE9D" w14:textId="77777777" w:rsidTr="005C1B9E">
        <w:trPr>
          <w:trHeight w:val="6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8F65B0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3CFD82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Sourceid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D645B5" w14:textId="5627AE55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This is a unique ID for identifying every entry in the dataset provided by </w:t>
            </w:r>
            <w:r w:rsidR="00421BF2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Scimago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D16A9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Discrete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B0612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Independent Variable</w:t>
            </w:r>
          </w:p>
        </w:tc>
      </w:tr>
      <w:tr w:rsidR="00CB19E1" w:rsidRPr="00D67055" w14:paraId="7046EAB5" w14:textId="77777777" w:rsidTr="005C1B9E">
        <w:trPr>
          <w:trHeight w:val="12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BA137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48F46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95787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is practically the unique name of the journal provided by the publisher. In many cases, the journal title lends a clear hint regarding the field and category of a journal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FD3D9" w14:textId="31CBA48B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Categorical, </w:t>
            </w:r>
            <w:r w:rsidR="007B6407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Nominal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5F04C5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Independent Variable</w:t>
            </w:r>
          </w:p>
        </w:tc>
      </w:tr>
      <w:tr w:rsidR="00CB19E1" w:rsidRPr="00D67055" w14:paraId="07EBC320" w14:textId="77777777" w:rsidTr="005C1B9E">
        <w:trPr>
          <w:trHeight w:val="9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A70661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CB559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5BF6B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kind of publication accepted by the publisher. It could be a journal, conference proceedings or book series.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D4C88" w14:textId="3FB7D63B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Categorical, </w:t>
            </w:r>
            <w:r w:rsidR="007B6407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Nominal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DD406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12098B16" w14:textId="77777777" w:rsidTr="005C1B9E">
        <w:trPr>
          <w:trHeight w:val="12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A94709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72F1C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ISSN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773557" w14:textId="3273696D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This is a unique value globally </w:t>
            </w:r>
            <w:r w:rsidR="00421BF2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recognized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as the standard means for identifying books, journals, magazines etc. around the world. It stands for International </w:t>
            </w:r>
            <w:r w:rsidR="00421BF2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serial Number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46213A" w14:textId="128E3962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Categorical, </w:t>
            </w:r>
            <w:r w:rsidR="007B6407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Nominal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560A5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Independent Variable</w:t>
            </w:r>
          </w:p>
        </w:tc>
      </w:tr>
      <w:tr w:rsidR="00CB19E1" w:rsidRPr="00D67055" w14:paraId="29EF46D1" w14:textId="77777777" w:rsidTr="005C1B9E">
        <w:trPr>
          <w:trHeight w:val="12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9891C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DC0E7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SJR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E2D91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 measure of the scientific influence of scholarly journals based on the number of citations received by articles in the journal within a period of time.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6F0BC" w14:textId="77CEA96D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Numerical, </w:t>
            </w:r>
            <w:r w:rsidR="00421BF2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Continuous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E4D1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034C2941" w14:textId="77777777" w:rsidTr="005C1B9E">
        <w:trPr>
          <w:trHeight w:val="15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C77E5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7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08054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SJR_Best_Quartile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180530" w14:textId="442105AB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This </w:t>
            </w:r>
            <w:r w:rsidR="0093341C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variable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measures the grade, also known as quartile </w:t>
            </w:r>
            <w:r w:rsidR="0093341C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ranking, of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every journal in the database. The quartile values ranges between Q1, Q2, Q3 &amp; Q4 where Q1 is the highest and Q4 Is the lowest quartile.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BC0C8" w14:textId="77A41BA4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Categorical, </w:t>
            </w:r>
            <w:r w:rsidR="0093341C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Nominal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F70EE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56A009C7" w14:textId="77777777" w:rsidTr="005C1B9E">
        <w:trPr>
          <w:trHeight w:val="9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742AF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260387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H_index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621541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variable measures the number of published work relative to the highest citation count of each publication of a scholar.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635D4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Discrete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DBF056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2ED34045" w14:textId="77777777" w:rsidTr="005C1B9E">
        <w:trPr>
          <w:trHeight w:val="6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3FEEB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75F3B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Total_Docs_2022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D1674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is the total number of documents published as at 2022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32693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Discrete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0BA55A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1BEA4563" w14:textId="77777777" w:rsidTr="005C1B9E">
        <w:trPr>
          <w:trHeight w:val="6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550FC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0BD0B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Total_Docs_3years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1459B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is the total number of documents published in the last 3 years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839C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Discrete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C711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07E26593" w14:textId="77777777" w:rsidTr="005C1B9E">
        <w:trPr>
          <w:trHeight w:val="6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4A0E3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4CE799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Total_Refs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5DCF32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is the total number of references included in the journal's publications as at 2022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2793F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Discrete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235AF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422549F8" w14:textId="77777777" w:rsidTr="005C1B9E">
        <w:trPr>
          <w:trHeight w:val="12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F7A91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EDCF1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Total_Cites_3years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D701A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variable measures the total number of citations in the past 3 years. i.e. citations in 2022 received by all published articles in 2019, 2020 &amp; 2021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286BD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Discrete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7CCB6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3D6AD5F1" w14:textId="77777777" w:rsidTr="005C1B9E">
        <w:trPr>
          <w:trHeight w:val="9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937FA5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49A88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Citable_Docs_3years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93915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is the total number of the journal's citable documents in the last 3 years i.e. 2019, 2020 &amp; 2021.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FC71F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Discrete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6F11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7658C7B5" w14:textId="77777777" w:rsidTr="005C1B9E">
        <w:trPr>
          <w:trHeight w:val="6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9E644E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7AD17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Cites_per_Doc_2years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C18C02" w14:textId="4566CC11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This metric measures the </w:t>
            </w:r>
            <w:r w:rsidR="0093341C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citation per document in a 2 year period.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4E5CC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Continuous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07802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63CF1AE5" w14:textId="77777777" w:rsidTr="005C1B9E">
        <w:trPr>
          <w:trHeight w:val="6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25993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328C1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Ref_per_Doc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F517A" w14:textId="5E7DA76A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Average number of references for each </w:t>
            </w:r>
            <w:r w:rsidR="0093341C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document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published by the journal in 2022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5753C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Numerical, Continuous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F565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1286CF2A" w14:textId="77777777" w:rsidTr="005C1B9E">
        <w:trPr>
          <w:trHeight w:val="6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7A93F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4988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Country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B2C56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Location where journal is based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09DCF" w14:textId="45CA59FD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Categorical, </w:t>
            </w:r>
            <w:r w:rsidR="0093341C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Nominal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2DB6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Independent Variable</w:t>
            </w:r>
          </w:p>
        </w:tc>
      </w:tr>
      <w:tr w:rsidR="00CB19E1" w:rsidRPr="00D67055" w14:paraId="484F2439" w14:textId="77777777" w:rsidTr="005C1B9E">
        <w:trPr>
          <w:trHeight w:val="6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63734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0A187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Region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819781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Region where the country falls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DF313" w14:textId="1AEADD64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Categorical, </w:t>
            </w:r>
            <w:r w:rsidR="0093341C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Nominal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2F71E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Independent Variable</w:t>
            </w:r>
          </w:p>
        </w:tc>
      </w:tr>
      <w:tr w:rsidR="00CB19E1" w:rsidRPr="00D67055" w14:paraId="6701EA96" w14:textId="77777777" w:rsidTr="005C1B9E">
        <w:trPr>
          <w:trHeight w:val="6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2D6EF5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67516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Publisher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69CCA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organization or company responsible for publishing the journal.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9DC62" w14:textId="3F3C0F95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Categorical, Nominal.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85DC4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Independent Variable</w:t>
            </w:r>
          </w:p>
        </w:tc>
      </w:tr>
      <w:tr w:rsidR="00CB19E1" w:rsidRPr="00D67055" w14:paraId="34063AFA" w14:textId="77777777" w:rsidTr="005C1B9E">
        <w:trPr>
          <w:trHeight w:val="6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17A25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07CEBC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Coverage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2CE5A" w14:textId="457DF0AD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 range of years the </w:t>
            </w:r>
            <w:r w:rsidR="00421BF2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journal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has been active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3142F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Date/Time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2A1F79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  <w:tr w:rsidR="00CB19E1" w:rsidRPr="00D67055" w14:paraId="04E742B3" w14:textId="77777777" w:rsidTr="005C1B9E">
        <w:trPr>
          <w:trHeight w:val="6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15060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455EA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Categories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BDB64" w14:textId="51C425DA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Field of Science the journal </w:t>
            </w:r>
            <w:r w:rsidR="00421BF2"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specializes</w:t>
            </w: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in.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C7F2B" w14:textId="7E2EA130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Categorical, Nominal.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7676C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Independent Variable</w:t>
            </w:r>
          </w:p>
        </w:tc>
      </w:tr>
      <w:tr w:rsidR="00CB19E1" w:rsidRPr="00D67055" w14:paraId="50312850" w14:textId="77777777" w:rsidTr="005C1B9E">
        <w:trPr>
          <w:trHeight w:val="6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683CD" w14:textId="77777777" w:rsidR="00D67055" w:rsidRPr="00D67055" w:rsidRDefault="00D67055" w:rsidP="00D670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2B20D9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Areas</w:t>
            </w:r>
          </w:p>
        </w:tc>
        <w:tc>
          <w:tcPr>
            <w:tcW w:w="4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7E259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Classification of the journal into specific subject by category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34F0C" w14:textId="5DEABB60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Categorical, Nominal.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C2340" w14:textId="77777777" w:rsidR="00D67055" w:rsidRPr="00D67055" w:rsidRDefault="00D67055" w:rsidP="00D670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670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Dependent Variable</w:t>
            </w:r>
          </w:p>
        </w:tc>
      </w:tr>
    </w:tbl>
    <w:p w14:paraId="2FD59647" w14:textId="77777777" w:rsidR="006F4864" w:rsidRDefault="006F4864" w:rsidP="00AA5CEA"/>
    <w:p w14:paraId="02AEFDED" w14:textId="103F4E1C" w:rsidR="003648C0" w:rsidRPr="00B2165E" w:rsidRDefault="00B2165E" w:rsidP="007F744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Dataset Properties</w:t>
      </w:r>
    </w:p>
    <w:p w14:paraId="554C77B6" w14:textId="1E133093" w:rsidR="00C63C26" w:rsidRDefault="00C63C26" w:rsidP="00DD4FC0">
      <w:pPr>
        <w:pStyle w:val="ListParagraph"/>
        <w:numPr>
          <w:ilvl w:val="0"/>
          <w:numId w:val="1"/>
        </w:numPr>
      </w:pPr>
      <w:r w:rsidRPr="00DE7429">
        <w:rPr>
          <w:b/>
          <w:bCs/>
        </w:rPr>
        <w:t>Number of Variables</w:t>
      </w:r>
      <w:r>
        <w:t>: 21</w:t>
      </w:r>
    </w:p>
    <w:p w14:paraId="7E8BDD87" w14:textId="1FBCC027" w:rsidR="00761865" w:rsidRDefault="00761865" w:rsidP="00DD4FC0">
      <w:pPr>
        <w:pStyle w:val="ListParagraph"/>
        <w:numPr>
          <w:ilvl w:val="0"/>
          <w:numId w:val="1"/>
        </w:numPr>
      </w:pPr>
      <w:r w:rsidRPr="00DE7429">
        <w:rPr>
          <w:b/>
          <w:bCs/>
        </w:rPr>
        <w:t>Source</w:t>
      </w:r>
      <w:r>
        <w:t>: Scimago journal</w:t>
      </w:r>
      <w:r w:rsidR="00FF35A2">
        <w:t xml:space="preserve"> </w:t>
      </w:r>
      <w:r w:rsidR="00F70461">
        <w:t xml:space="preserve">&amp; </w:t>
      </w:r>
      <w:r w:rsidR="00FF35A2">
        <w:t xml:space="preserve">country </w:t>
      </w:r>
      <w:r>
        <w:t>rank</w:t>
      </w:r>
      <w:r w:rsidR="00FF35A2">
        <w:t xml:space="preserve">: </w:t>
      </w:r>
      <w:hyperlink r:id="rId6" w:history="1">
        <w:r w:rsidR="00FF35A2" w:rsidRPr="00BC4D8B">
          <w:rPr>
            <w:rStyle w:val="Hyperlink"/>
          </w:rPr>
          <w:t>https://www.scimagojr.com/journalrank.php</w:t>
        </w:r>
      </w:hyperlink>
    </w:p>
    <w:p w14:paraId="57674D6E" w14:textId="77777777" w:rsidR="00743107" w:rsidRPr="00743107" w:rsidRDefault="00CE2075" w:rsidP="00DE7429">
      <w:pPr>
        <w:pStyle w:val="ListParagraph"/>
        <w:numPr>
          <w:ilvl w:val="0"/>
          <w:numId w:val="1"/>
        </w:numPr>
        <w:rPr>
          <w:b/>
          <w:bCs/>
        </w:rPr>
      </w:pPr>
      <w:r w:rsidRPr="00DE7429">
        <w:rPr>
          <w:b/>
          <w:bCs/>
        </w:rPr>
        <w:t>Assumptions</w:t>
      </w:r>
      <w:r w:rsidR="00DE7429" w:rsidRPr="00DE7429">
        <w:rPr>
          <w:b/>
          <w:bCs/>
        </w:rPr>
        <w:t xml:space="preserve"> about datas</w:t>
      </w:r>
      <w:r w:rsidR="008F1755">
        <w:rPr>
          <w:b/>
          <w:bCs/>
        </w:rPr>
        <w:t xml:space="preserve">et: </w:t>
      </w:r>
      <w:r w:rsidR="008F1755" w:rsidRPr="009D6A4A">
        <w:t xml:space="preserve">This dataset is believed to be authoritative </w:t>
      </w:r>
      <w:r w:rsidR="009D6A4A">
        <w:t>as it includes</w:t>
      </w:r>
      <w:r w:rsidR="009D6A4A" w:rsidRPr="009D6A4A">
        <w:t xml:space="preserve"> </w:t>
      </w:r>
      <w:r w:rsidR="005F1049">
        <w:t xml:space="preserve">current </w:t>
      </w:r>
      <w:r w:rsidR="009D6A4A" w:rsidRPr="009D6A4A">
        <w:t xml:space="preserve">scientific </w:t>
      </w:r>
      <w:r w:rsidR="009D6A4A">
        <w:t>journals</w:t>
      </w:r>
      <w:r w:rsidR="009D6A4A" w:rsidRPr="009D6A4A">
        <w:t xml:space="preserve"> developed from the information contained in the Scopus database </w:t>
      </w:r>
      <w:r w:rsidR="009B2054">
        <w:t>managed</w:t>
      </w:r>
      <w:r w:rsidR="005F1049">
        <w:t xml:space="preserve"> by </w:t>
      </w:r>
      <w:r w:rsidR="009D6A4A" w:rsidRPr="009D6A4A">
        <w:t>Elsevier</w:t>
      </w:r>
      <w:r w:rsidR="005F7E52">
        <w:t xml:space="preserve"> Publishing company</w:t>
      </w:r>
      <w:r w:rsidR="009D6A4A" w:rsidRPr="009D6A4A">
        <w:t>.</w:t>
      </w:r>
      <w:r w:rsidR="005F1049">
        <w:t xml:space="preserve"> However, </w:t>
      </w:r>
      <w:r w:rsidR="008E66E8">
        <w:t xml:space="preserve">a critical number of scholars </w:t>
      </w:r>
      <w:r w:rsidR="00AC72EB">
        <w:t xml:space="preserve">are of the </w:t>
      </w:r>
      <w:r w:rsidR="00AC72EB">
        <w:lastRenderedPageBreak/>
        <w:t xml:space="preserve">opinion that </w:t>
      </w:r>
      <w:r w:rsidR="000A328B">
        <w:t xml:space="preserve">the distribution of high impact </w:t>
      </w:r>
      <w:r w:rsidR="007D603A">
        <w:t>journals</w:t>
      </w:r>
      <w:r w:rsidR="000A328B">
        <w:t xml:space="preserve"> </w:t>
      </w:r>
      <w:r w:rsidR="009B2054">
        <w:t xml:space="preserve">visa viz mechanism of </w:t>
      </w:r>
      <w:r w:rsidR="000A328B">
        <w:t xml:space="preserve"> inclusion </w:t>
      </w:r>
      <w:r w:rsidR="007A3321">
        <w:t xml:space="preserve">into this database is highly biased and </w:t>
      </w:r>
      <w:r w:rsidR="00807CFF">
        <w:t xml:space="preserve">money -driven. Hence, the </w:t>
      </w:r>
      <w:r w:rsidR="00C55DEA">
        <w:t>observations are technically considered to be a sample of a larger un</w:t>
      </w:r>
      <w:r w:rsidR="00677E9C">
        <w:t xml:space="preserve">registered population of </w:t>
      </w:r>
      <w:r w:rsidR="00743107">
        <w:t>high-quality</w:t>
      </w:r>
      <w:r w:rsidR="00677E9C">
        <w:t xml:space="preserve"> journals. </w:t>
      </w:r>
    </w:p>
    <w:p w14:paraId="4D15926B" w14:textId="77777777" w:rsidR="00743107" w:rsidRDefault="00743107" w:rsidP="00743107">
      <w:pPr>
        <w:pStyle w:val="ListParagraph"/>
        <w:ind w:left="1080"/>
      </w:pPr>
    </w:p>
    <w:p w14:paraId="5E9BD34B" w14:textId="2F51A586" w:rsidR="00DD4FC0" w:rsidRDefault="00677E9C" w:rsidP="00743107">
      <w:pPr>
        <w:pStyle w:val="ListParagraph"/>
        <w:ind w:left="1080"/>
      </w:pPr>
      <w:r>
        <w:t xml:space="preserve">By no means is this dataset exhaustive but </w:t>
      </w:r>
      <w:r w:rsidR="005F7884">
        <w:t xml:space="preserve">it covers regions and countries interesting enough to derive insights and </w:t>
      </w:r>
      <w:r w:rsidR="00AF05FB">
        <w:t xml:space="preserve">information </w:t>
      </w:r>
      <w:r w:rsidR="006F2B22">
        <w:t xml:space="preserve">about </w:t>
      </w:r>
      <w:r w:rsidR="00AF05FB">
        <w:t>how research and developments is documented around the world</w:t>
      </w:r>
      <w:r w:rsidR="00DA3D75">
        <w:t xml:space="preserve"> and the consequences of </w:t>
      </w:r>
      <w:r w:rsidR="00C35286">
        <w:t xml:space="preserve">poor </w:t>
      </w:r>
      <w:r w:rsidR="00220F5F">
        <w:t xml:space="preserve">research effort and </w:t>
      </w:r>
      <w:r w:rsidR="00C35286">
        <w:t>documentation</w:t>
      </w:r>
      <w:r w:rsidR="00AF05FB">
        <w:t>.</w:t>
      </w:r>
    </w:p>
    <w:p w14:paraId="64DE28B0" w14:textId="77777777" w:rsidR="00A20829" w:rsidRDefault="00A20829" w:rsidP="00743107">
      <w:pPr>
        <w:pStyle w:val="ListParagraph"/>
        <w:ind w:left="1080"/>
      </w:pPr>
    </w:p>
    <w:p w14:paraId="35EC0B99" w14:textId="6C2A6C5E" w:rsidR="00A20829" w:rsidRDefault="004C201F" w:rsidP="00A208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Motivation: </w:t>
      </w:r>
    </w:p>
    <w:p w14:paraId="5F04E9B3" w14:textId="52E9D236" w:rsidR="00BA632F" w:rsidRPr="00DF32E2" w:rsidRDefault="003F2140" w:rsidP="00AB75F3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S</w:t>
      </w:r>
      <w:r w:rsidR="00BA632F">
        <w:rPr>
          <w:b/>
          <w:bCs/>
        </w:rPr>
        <w:t>ummary</w:t>
      </w:r>
      <w:r>
        <w:rPr>
          <w:b/>
          <w:bCs/>
        </w:rPr>
        <w:t>:</w:t>
      </w:r>
      <w:r w:rsidR="00037E70">
        <w:rPr>
          <w:b/>
          <w:bCs/>
        </w:rPr>
        <w:t xml:space="preserve"> </w:t>
      </w:r>
      <w:r w:rsidR="00DF32E2">
        <w:t>M</w:t>
      </w:r>
      <w:r w:rsidR="00037E70" w:rsidRPr="00DF32E2">
        <w:t xml:space="preserve">y interest is driven by the need to ascertain if the classification of journals into </w:t>
      </w:r>
      <w:r w:rsidR="000E7D61" w:rsidRPr="00DF32E2">
        <w:t xml:space="preserve">certain categories is </w:t>
      </w:r>
      <w:r w:rsidR="00DF32E2">
        <w:t>solely</w:t>
      </w:r>
      <w:r w:rsidR="000E7D61" w:rsidRPr="00DF32E2">
        <w:t xml:space="preserve"> based on merit and contribution to the body of knowledge or largely </w:t>
      </w:r>
      <w:r w:rsidR="007B1771" w:rsidRPr="00DF32E2">
        <w:t>money driven</w:t>
      </w:r>
      <w:r w:rsidR="000E7D61" w:rsidRPr="00DF32E2">
        <w:t>.</w:t>
      </w:r>
      <w:r w:rsidR="00AB75F3">
        <w:t xml:space="preserve"> </w:t>
      </w:r>
      <w:r w:rsidR="007114D4">
        <w:t>Furthermore,</w:t>
      </w:r>
      <w:r w:rsidR="00C4403E">
        <w:t xml:space="preserve"> to understand the extent of influ</w:t>
      </w:r>
      <w:r w:rsidR="00100CAC">
        <w:t xml:space="preserve">ence of research outputs in </w:t>
      </w:r>
      <w:r w:rsidR="00413392">
        <w:t>improving the quality of service in the respective resear</w:t>
      </w:r>
      <w:r w:rsidR="00BC038F">
        <w:t>ch areas of each country.</w:t>
      </w:r>
    </w:p>
    <w:p w14:paraId="0296A1EE" w14:textId="77777777" w:rsidR="00DF32E2" w:rsidRDefault="00DF32E2" w:rsidP="00AB75F3">
      <w:pPr>
        <w:pStyle w:val="ListParagraph"/>
        <w:ind w:left="1440"/>
        <w:jc w:val="both"/>
        <w:rPr>
          <w:b/>
          <w:bCs/>
        </w:rPr>
      </w:pPr>
    </w:p>
    <w:p w14:paraId="7FCDC177" w14:textId="1243765D" w:rsidR="00112411" w:rsidRDefault="00DF32E2" w:rsidP="00AB75F3">
      <w:pPr>
        <w:pStyle w:val="ListParagraph"/>
        <w:numPr>
          <w:ilvl w:val="0"/>
          <w:numId w:val="4"/>
        </w:numPr>
        <w:jc w:val="both"/>
      </w:pPr>
      <w:r w:rsidRPr="00DF32E2">
        <w:rPr>
          <w:b/>
          <w:bCs/>
        </w:rPr>
        <w:t>Backstory:</w:t>
      </w:r>
      <w:r>
        <w:rPr>
          <w:b/>
          <w:bCs/>
        </w:rPr>
        <w:t xml:space="preserve"> </w:t>
      </w:r>
      <w:r w:rsidR="004C201F" w:rsidRPr="002A2F7A">
        <w:t xml:space="preserve">During my postgraduate studies in Malaysia, there was immense pressure on </w:t>
      </w:r>
      <w:r w:rsidR="00A90793" w:rsidRPr="002A2F7A">
        <w:t xml:space="preserve">all research students to meet </w:t>
      </w:r>
      <w:r w:rsidR="008E30C9">
        <w:t>a</w:t>
      </w:r>
      <w:r w:rsidR="00A90793" w:rsidRPr="002A2F7A">
        <w:t xml:space="preserve"> quota in publication</w:t>
      </w:r>
      <w:r w:rsidR="00C92663" w:rsidRPr="002A2F7A">
        <w:t xml:space="preserve">s to certain publishing houses like Elsevier, Springer, </w:t>
      </w:r>
      <w:r w:rsidR="00AC4784" w:rsidRPr="002A2F7A">
        <w:t xml:space="preserve">ACM etc. The pressure was so intense </w:t>
      </w:r>
      <w:r w:rsidR="00615963">
        <w:t>lots of</w:t>
      </w:r>
      <w:r w:rsidR="00AC4784" w:rsidRPr="002A2F7A">
        <w:t xml:space="preserve"> student had to quit </w:t>
      </w:r>
      <w:r w:rsidR="000A2CB6" w:rsidRPr="002A2F7A">
        <w:t xml:space="preserve">while </w:t>
      </w:r>
      <w:r w:rsidR="009F5CA7">
        <w:t xml:space="preserve">many of </w:t>
      </w:r>
      <w:r w:rsidR="000A2CB6" w:rsidRPr="002A2F7A">
        <w:t>those who stayed</w:t>
      </w:r>
      <w:r w:rsidR="002A2F7A" w:rsidRPr="00DF32E2">
        <w:rPr>
          <w:b/>
          <w:bCs/>
        </w:rPr>
        <w:t xml:space="preserve">, </w:t>
      </w:r>
      <w:r w:rsidR="002A2F7A" w:rsidRPr="008E30C9">
        <w:t>though succ</w:t>
      </w:r>
      <w:r w:rsidR="007F5C90" w:rsidRPr="008E30C9">
        <w:t xml:space="preserve">eeded in publishing few articles in requisite journals, were </w:t>
      </w:r>
      <w:r w:rsidR="000A2CB6" w:rsidRPr="008E30C9">
        <w:t xml:space="preserve"> </w:t>
      </w:r>
      <w:r w:rsidR="00DB2992" w:rsidRPr="008E30C9">
        <w:t xml:space="preserve">inundated with different medical and </w:t>
      </w:r>
      <w:r w:rsidR="008E30C9" w:rsidRPr="008E30C9">
        <w:t xml:space="preserve">psychological </w:t>
      </w:r>
      <w:r w:rsidR="00DB2992" w:rsidRPr="008E30C9">
        <w:t>issues</w:t>
      </w:r>
      <w:r w:rsidR="008E30C9" w:rsidRPr="008E30C9">
        <w:t>.</w:t>
      </w:r>
    </w:p>
    <w:p w14:paraId="1383F642" w14:textId="77777777" w:rsidR="00112411" w:rsidRDefault="00112411" w:rsidP="00AB75F3">
      <w:pPr>
        <w:pStyle w:val="ListParagraph"/>
        <w:jc w:val="both"/>
      </w:pPr>
    </w:p>
    <w:p w14:paraId="63EA90D0" w14:textId="27A14D7E" w:rsidR="003A23DB" w:rsidRDefault="00937AD1" w:rsidP="00AB75F3">
      <w:pPr>
        <w:pStyle w:val="ListParagraph"/>
        <w:ind w:left="1440"/>
        <w:jc w:val="both"/>
      </w:pPr>
      <w:r>
        <w:t xml:space="preserve">The cost of </w:t>
      </w:r>
      <w:r w:rsidR="005A4781">
        <w:t xml:space="preserve">publishing </w:t>
      </w:r>
      <w:r w:rsidR="00AB6F29">
        <w:t xml:space="preserve">wasn’t cheap either. If </w:t>
      </w:r>
      <w:r w:rsidR="008842B2">
        <w:t>students</w:t>
      </w:r>
      <w:r w:rsidR="00AB6F29">
        <w:t xml:space="preserve"> wanted timely release of their articles</w:t>
      </w:r>
      <w:r w:rsidR="0069408C">
        <w:t xml:space="preserve"> in open access journals, they had to bear the cost which in many cases </w:t>
      </w:r>
      <w:r w:rsidR="00962918">
        <w:t xml:space="preserve">get cascaded to the supervisor. </w:t>
      </w:r>
      <w:r w:rsidR="00331501">
        <w:t xml:space="preserve">As for closed journals, access to </w:t>
      </w:r>
      <w:r w:rsidR="007C1FB8">
        <w:t xml:space="preserve">their repositories </w:t>
      </w:r>
      <w:r w:rsidR="00354E35">
        <w:t>we</w:t>
      </w:r>
      <w:r w:rsidR="007C1FB8">
        <w:t xml:space="preserve">re </w:t>
      </w:r>
      <w:r w:rsidR="003019BF">
        <w:t>secured</w:t>
      </w:r>
      <w:r w:rsidR="00331501">
        <w:t xml:space="preserve"> behind pay walls</w:t>
      </w:r>
      <w:r w:rsidR="007C1FB8">
        <w:t xml:space="preserve"> for whi</w:t>
      </w:r>
      <w:r w:rsidR="00F058AA">
        <w:t>ch</w:t>
      </w:r>
      <w:r w:rsidR="00331501">
        <w:t xml:space="preserve"> universit</w:t>
      </w:r>
      <w:r w:rsidR="00F058AA">
        <w:t>ies</w:t>
      </w:r>
      <w:r w:rsidR="00331501">
        <w:t xml:space="preserve"> had to sub</w:t>
      </w:r>
      <w:r w:rsidR="00F058AA">
        <w:t xml:space="preserve">scribe and budget huge amounts for. </w:t>
      </w:r>
    </w:p>
    <w:p w14:paraId="14F98392" w14:textId="77777777" w:rsidR="003A23DB" w:rsidRDefault="003A23DB" w:rsidP="00AB75F3">
      <w:pPr>
        <w:pStyle w:val="ListParagraph"/>
        <w:ind w:left="1440"/>
        <w:jc w:val="both"/>
      </w:pPr>
    </w:p>
    <w:p w14:paraId="682EC61E" w14:textId="575317D1" w:rsidR="007D6A1F" w:rsidRDefault="007D6A1F" w:rsidP="00AB75F3">
      <w:pPr>
        <w:pStyle w:val="ListParagraph"/>
        <w:ind w:left="1440"/>
        <w:jc w:val="both"/>
      </w:pPr>
      <w:r>
        <w:t xml:space="preserve">This wasn’t sustainable as </w:t>
      </w:r>
      <w:r w:rsidR="00A61B5F">
        <w:t>the government</w:t>
      </w:r>
      <w:r w:rsidR="00CE7C89">
        <w:t xml:space="preserve"> began to cut funding for research given low return on invest</w:t>
      </w:r>
      <w:r w:rsidR="008B791B">
        <w:t xml:space="preserve">ments, </w:t>
      </w:r>
      <w:r w:rsidR="003A23DB">
        <w:t>fewer patent</w:t>
      </w:r>
      <w:r w:rsidR="00B2339E">
        <w:t>s</w:t>
      </w:r>
      <w:r w:rsidR="003A23DB">
        <w:t xml:space="preserve">, </w:t>
      </w:r>
      <w:r w:rsidR="008B791B">
        <w:t xml:space="preserve">poor </w:t>
      </w:r>
      <w:r w:rsidR="00943F52">
        <w:t>translation of research finding to service offerings</w:t>
      </w:r>
      <w:r w:rsidR="008B791B">
        <w:t xml:space="preserve"> &amp; tight competition for </w:t>
      </w:r>
      <w:r w:rsidR="00E65ABE">
        <w:t>meagre</w:t>
      </w:r>
      <w:r w:rsidR="003A23DB">
        <w:t xml:space="preserve"> </w:t>
      </w:r>
      <w:r w:rsidR="00E65ABE">
        <w:t xml:space="preserve"> </w:t>
      </w:r>
      <w:r w:rsidR="008B791B">
        <w:t>grants</w:t>
      </w:r>
      <w:r w:rsidR="00E65ABE">
        <w:t xml:space="preserve">. </w:t>
      </w:r>
      <w:r w:rsidR="00117269">
        <w:t>As t</w:t>
      </w:r>
      <w:r w:rsidR="008C3CDA">
        <w:t>he</w:t>
      </w:r>
      <w:r w:rsidR="00463EA6">
        <w:t xml:space="preserve">se events unfolded, scholars </w:t>
      </w:r>
      <w:r w:rsidR="00B2339E">
        <w:t xml:space="preserve">in </w:t>
      </w:r>
      <w:r w:rsidR="000607DF">
        <w:t>Malysia</w:t>
      </w:r>
      <w:r w:rsidR="00463EA6">
        <w:t xml:space="preserve"> and </w:t>
      </w:r>
      <w:r w:rsidR="000607DF">
        <w:t xml:space="preserve">Europe </w:t>
      </w:r>
      <w:r w:rsidR="00472F7C">
        <w:t>began to expose</w:t>
      </w:r>
      <w:r w:rsidR="00CE4462">
        <w:t xml:space="preserve"> the fraudulent </w:t>
      </w:r>
      <w:r w:rsidR="009A2252">
        <w:t xml:space="preserve">extortion of researchers by publishing houses </w:t>
      </w:r>
      <w:r w:rsidR="004A3F15">
        <w:t>in return for</w:t>
      </w:r>
      <w:r w:rsidR="00C53BF1">
        <w:t xml:space="preserve"> recognition and</w:t>
      </w:r>
      <w:r w:rsidR="004A3F15">
        <w:t xml:space="preserve"> access to their intellectual property. </w:t>
      </w:r>
      <w:r w:rsidR="004B4F0A">
        <w:t xml:space="preserve">A direct response was the </w:t>
      </w:r>
      <w:r w:rsidR="005E610B">
        <w:t>emergence of ResearchGate and Sci-Hub.</w:t>
      </w:r>
    </w:p>
    <w:p w14:paraId="65BED2AC" w14:textId="77777777" w:rsidR="00F000C4" w:rsidRPr="003A23DB" w:rsidRDefault="00F000C4" w:rsidP="00AB75F3">
      <w:pPr>
        <w:pStyle w:val="ListParagraph"/>
        <w:ind w:left="1440"/>
        <w:jc w:val="both"/>
      </w:pPr>
    </w:p>
    <w:p w14:paraId="5D22AF6E" w14:textId="6E06B427" w:rsidR="00A20829" w:rsidRDefault="00F000C4" w:rsidP="00A208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Research Questions (FINER)</w:t>
      </w:r>
    </w:p>
    <w:p w14:paraId="5F13DB4B" w14:textId="0B97326D" w:rsidR="00F000C4" w:rsidRPr="008E1DF2" w:rsidRDefault="004B40B3" w:rsidP="00F000C4">
      <w:pPr>
        <w:pStyle w:val="ListParagraph"/>
        <w:numPr>
          <w:ilvl w:val="1"/>
          <w:numId w:val="2"/>
        </w:numPr>
      </w:pPr>
      <w:r w:rsidRPr="008E1DF2">
        <w:t>How does the distribution of research output vary across different scientific disciplines and areas by country or region within the Scimago database</w:t>
      </w:r>
      <w:r w:rsidRPr="008E1DF2">
        <w:t xml:space="preserve"> affect participation in research</w:t>
      </w:r>
      <w:r w:rsidR="008F173F" w:rsidRPr="008E1DF2">
        <w:t xml:space="preserve"> </w:t>
      </w:r>
      <w:r w:rsidRPr="008E1DF2">
        <w:t>and development</w:t>
      </w:r>
    </w:p>
    <w:p w14:paraId="3738AC1F" w14:textId="52A44DD1" w:rsidR="00F000C4" w:rsidRPr="008E1DF2" w:rsidRDefault="00F50156" w:rsidP="00F000C4">
      <w:pPr>
        <w:pStyle w:val="ListParagraph"/>
        <w:numPr>
          <w:ilvl w:val="1"/>
          <w:numId w:val="2"/>
        </w:numPr>
      </w:pPr>
      <w:r w:rsidRPr="008E1DF2">
        <w:t xml:space="preserve">Does the distribution of </w:t>
      </w:r>
      <w:r w:rsidR="006A7142" w:rsidRPr="008E1DF2">
        <w:t xml:space="preserve">publishing houses across regions support or inhibit participation in high quality </w:t>
      </w:r>
      <w:r w:rsidR="00A55AEC" w:rsidRPr="008E1DF2">
        <w:t xml:space="preserve">research and development by countries </w:t>
      </w:r>
      <w:r w:rsidR="00B02B17" w:rsidRPr="008E1DF2">
        <w:t>with low ranking?</w:t>
      </w:r>
    </w:p>
    <w:p w14:paraId="615C9CA5" w14:textId="77777777" w:rsidR="00803BB3" w:rsidRPr="008E1DF2" w:rsidRDefault="00803BB3" w:rsidP="00F000C4">
      <w:pPr>
        <w:pStyle w:val="ListParagraph"/>
        <w:numPr>
          <w:ilvl w:val="1"/>
          <w:numId w:val="2"/>
        </w:numPr>
      </w:pPr>
      <w:r w:rsidRPr="008E1DF2">
        <w:t>To what degree does a country's investment in research and development (R&amp;D), research output influence what gets published where and when,</w:t>
      </w:r>
      <w:r w:rsidRPr="008E1DF2">
        <w:t xml:space="preserve"> </w:t>
      </w:r>
      <w:r w:rsidRPr="008E1DF2">
        <w:t>if any?</w:t>
      </w:r>
    </w:p>
    <w:p w14:paraId="1DDBC912" w14:textId="3FC55DA4" w:rsidR="00D32660" w:rsidRPr="008E1DF2" w:rsidRDefault="00803BB3" w:rsidP="00F000C4">
      <w:pPr>
        <w:pStyle w:val="ListParagraph"/>
        <w:numPr>
          <w:ilvl w:val="1"/>
          <w:numId w:val="2"/>
        </w:numPr>
      </w:pPr>
      <w:r w:rsidRPr="008E1DF2">
        <w:t>Can metrics such as citation per doc, reference per doc</w:t>
      </w:r>
      <w:r w:rsidR="001F5523" w:rsidRPr="008E1DF2">
        <w:t xml:space="preserve">, total cites or a </w:t>
      </w:r>
      <w:r w:rsidR="000C0F4F" w:rsidRPr="008E1DF2">
        <w:t>combination</w:t>
      </w:r>
      <w:r w:rsidR="001F5523" w:rsidRPr="008E1DF2">
        <w:t xml:space="preserve"> or </w:t>
      </w:r>
      <w:r w:rsidR="000C0F4F" w:rsidRPr="008E1DF2">
        <w:t>these metrics influ</w:t>
      </w:r>
      <w:r w:rsidR="00911983" w:rsidRPr="008E1DF2">
        <w:t>ence investment in certain research areas or categories</w:t>
      </w:r>
      <w:r w:rsidR="00440369" w:rsidRPr="008E1DF2">
        <w:t xml:space="preserve"> in</w:t>
      </w:r>
      <w:r w:rsidR="008E1DF2" w:rsidRPr="008E1DF2">
        <w:t xml:space="preserve"> any country or region.</w:t>
      </w:r>
    </w:p>
    <w:p w14:paraId="6B8BB918" w14:textId="4A01DB8D" w:rsidR="008E1DF2" w:rsidRPr="008E1DF2" w:rsidRDefault="008E1DF2" w:rsidP="008E1DF2">
      <w:pPr>
        <w:pStyle w:val="ListParagraph"/>
        <w:numPr>
          <w:ilvl w:val="1"/>
          <w:numId w:val="2"/>
        </w:numPr>
      </w:pPr>
      <w:r w:rsidRPr="008E1DF2">
        <w:lastRenderedPageBreak/>
        <w:t xml:space="preserve">Can metrics such as citation per doc, reference per doc, total cites or a combination or these </w:t>
      </w:r>
      <w:r>
        <w:t xml:space="preserve">metrics </w:t>
      </w:r>
      <w:r w:rsidR="002B44D8">
        <w:t xml:space="preserve">indicate potential journals </w:t>
      </w:r>
      <w:r w:rsidR="0001646F">
        <w:t xml:space="preserve">across lower ranking countries </w:t>
      </w:r>
      <w:r w:rsidR="002B44D8">
        <w:t xml:space="preserve">for inclusion or upgrade </w:t>
      </w:r>
      <w:r w:rsidR="0001646F">
        <w:t xml:space="preserve">to </w:t>
      </w:r>
      <w:r w:rsidR="0069526F">
        <w:t>higher quality ranking in the Scimago database.</w:t>
      </w:r>
    </w:p>
    <w:p w14:paraId="315CEEB7" w14:textId="77777777" w:rsidR="008E1DF2" w:rsidRDefault="008E1DF2" w:rsidP="0069526F">
      <w:pPr>
        <w:pStyle w:val="ListParagraph"/>
        <w:ind w:left="1440"/>
        <w:rPr>
          <w:b/>
          <w:bCs/>
        </w:rPr>
      </w:pPr>
    </w:p>
    <w:p w14:paraId="42991FE9" w14:textId="14342146" w:rsidR="00A20829" w:rsidRDefault="00D817FE" w:rsidP="00A2082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Additional Data</w:t>
      </w:r>
      <w:r w:rsidR="007820EB">
        <w:rPr>
          <w:b/>
          <w:bCs/>
        </w:rPr>
        <w:t xml:space="preserve"> Requirement</w:t>
      </w:r>
    </w:p>
    <w:p w14:paraId="5A913FC4" w14:textId="4B2D55DF" w:rsidR="007820EB" w:rsidRDefault="007820EB" w:rsidP="007820EB">
      <w:pPr>
        <w:pStyle w:val="ListParagraph"/>
      </w:pPr>
      <w:r w:rsidRPr="00DC1360">
        <w:t xml:space="preserve">The available data is presumed </w:t>
      </w:r>
      <w:r w:rsidR="00D86570" w:rsidRPr="00DC1360">
        <w:t>sufficient</w:t>
      </w:r>
      <w:r w:rsidRPr="00DC1360">
        <w:t xml:space="preserve"> </w:t>
      </w:r>
      <w:r w:rsidR="00D86570" w:rsidRPr="00DC1360">
        <w:t xml:space="preserve">for the stated research questions. As the exploration continues, need for more data might </w:t>
      </w:r>
      <w:r w:rsidR="00DC1360" w:rsidRPr="00DC1360">
        <w:t>ensue but this is not anticipated.</w:t>
      </w:r>
    </w:p>
    <w:p w14:paraId="6DBA532A" w14:textId="77777777" w:rsidR="00D42E10" w:rsidRPr="00DC1360" w:rsidRDefault="00D42E10" w:rsidP="007820EB">
      <w:pPr>
        <w:pStyle w:val="ListParagraph"/>
      </w:pPr>
    </w:p>
    <w:p w14:paraId="251C05CB" w14:textId="7911A99A" w:rsidR="006E0849" w:rsidRDefault="00073183" w:rsidP="0007318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Tracking </w:t>
      </w:r>
      <w:r w:rsidR="00D42E10">
        <w:rPr>
          <w:b/>
          <w:bCs/>
        </w:rPr>
        <w:t>Analysis</w:t>
      </w:r>
      <w:r w:rsidR="00247D7A">
        <w:rPr>
          <w:b/>
          <w:bCs/>
        </w:rPr>
        <w:t>.</w:t>
      </w:r>
    </w:p>
    <w:p w14:paraId="7E41E128" w14:textId="422C00E3" w:rsidR="00247D7A" w:rsidRDefault="0041341C" w:rsidP="00247D7A">
      <w:pPr>
        <w:rPr>
          <w:b/>
          <w:bCs/>
        </w:rPr>
      </w:pPr>
      <w:r>
        <w:rPr>
          <w:noProof/>
        </w:rPr>
        <w:drawing>
          <wp:inline distT="0" distB="0" distL="0" distR="0" wp14:anchorId="2D2ADA69" wp14:editId="16377BE1">
            <wp:extent cx="5943600" cy="3138170"/>
            <wp:effectExtent l="0" t="0" r="0" b="5080"/>
            <wp:docPr id="9035782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1ED61AF-6868-6C6E-8B6C-D50EF5EBFA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C199E35" w14:textId="4FD810A8" w:rsidR="00FA71EE" w:rsidRPr="00FA71EE" w:rsidRDefault="005C41C4" w:rsidP="005C41C4">
      <w:pPr>
        <w:jc w:val="center"/>
        <w:rPr>
          <w:b/>
          <w:bCs/>
        </w:rPr>
      </w:pPr>
      <w:r>
        <w:rPr>
          <w:b/>
          <w:bCs/>
        </w:rPr>
        <w:t>Making sense of journal distribution across the world</w:t>
      </w:r>
    </w:p>
    <w:p w14:paraId="3F4B5222" w14:textId="77777777" w:rsidR="00107ECB" w:rsidRDefault="00107ECB" w:rsidP="00FA71EE"/>
    <w:p w14:paraId="57E14484" w14:textId="52AC83DB" w:rsidR="0041341C" w:rsidRDefault="00FA71EE" w:rsidP="00FA71EE">
      <w:r w:rsidRPr="005C41C4">
        <w:t>A slicer named region and country is provided on this pivot chart to understand the participation of each country in research &amp; Development effort via journal publication</w:t>
      </w:r>
      <w:r w:rsidRPr="005C41C4">
        <w:t xml:space="preserve">. Kindly refer to Tracking and </w:t>
      </w:r>
      <w:r w:rsidR="005C41C4" w:rsidRPr="005C41C4">
        <w:t>a</w:t>
      </w:r>
      <w:r w:rsidRPr="005C41C4">
        <w:t>nalysis 1 for details.</w:t>
      </w:r>
    </w:p>
    <w:p w14:paraId="3D1C103D" w14:textId="2CF30AE4" w:rsidR="00817B11" w:rsidRDefault="00123CED" w:rsidP="00FA71EE">
      <w:r>
        <w:rPr>
          <w:noProof/>
        </w:rPr>
        <w:lastRenderedPageBreak/>
        <mc:AlternateContent>
          <mc:Choice Requires="cx1">
            <w:drawing>
              <wp:inline distT="0" distB="0" distL="0" distR="0" wp14:anchorId="02F59FB4" wp14:editId="4298A004">
                <wp:extent cx="5943600" cy="3022600"/>
                <wp:effectExtent l="0" t="0" r="0" b="6350"/>
                <wp:docPr id="199915228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A7CE1B-1F83-7957-D476-644500A84B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02F59FB4" wp14:editId="4298A004">
                <wp:extent cx="5943600" cy="3022600"/>
                <wp:effectExtent l="0" t="0" r="0" b="6350"/>
                <wp:docPr id="199915228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A7CE1B-1F83-7957-D476-644500A84BC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915228" name="Chart 1">
                          <a:extLst>
                            <a:ext uri="{FF2B5EF4-FFF2-40B4-BE49-F238E27FC236}">
                              <a16:creationId xmlns:a16="http://schemas.microsoft.com/office/drawing/2014/main" id="{BEA7CE1B-1F83-7957-D476-644500A84BC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022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0518721" w14:textId="3E856E73" w:rsidR="00123CED" w:rsidRPr="00461C4F" w:rsidRDefault="00405F8E" w:rsidP="00461C4F">
      <w:pPr>
        <w:jc w:val="center"/>
        <w:rPr>
          <w:b/>
          <w:bCs/>
        </w:rPr>
      </w:pPr>
      <w:r w:rsidRPr="00461C4F">
        <w:rPr>
          <w:b/>
          <w:bCs/>
        </w:rPr>
        <w:t xml:space="preserve">Research contribution per region </w:t>
      </w:r>
      <w:r w:rsidR="00461C4F" w:rsidRPr="00461C4F">
        <w:rPr>
          <w:b/>
          <w:bCs/>
        </w:rPr>
        <w:t xml:space="preserve">and country in </w:t>
      </w:r>
      <w:r w:rsidR="00461C4F">
        <w:rPr>
          <w:b/>
          <w:bCs/>
        </w:rPr>
        <w:t xml:space="preserve">a </w:t>
      </w:r>
      <w:r w:rsidR="00461C4F" w:rsidRPr="00461C4F">
        <w:rPr>
          <w:b/>
          <w:bCs/>
        </w:rPr>
        <w:t>3 year</w:t>
      </w:r>
      <w:r w:rsidR="00461C4F">
        <w:rPr>
          <w:b/>
          <w:bCs/>
        </w:rPr>
        <w:t>-</w:t>
      </w:r>
      <w:r w:rsidR="00461C4F" w:rsidRPr="00461C4F">
        <w:rPr>
          <w:b/>
          <w:bCs/>
        </w:rPr>
        <w:t>window</w:t>
      </w:r>
    </w:p>
    <w:p w14:paraId="78B93521" w14:textId="77777777" w:rsidR="00461C4F" w:rsidRDefault="00461C4F" w:rsidP="00FA71EE"/>
    <w:p w14:paraId="670C9242" w14:textId="1EDA7401" w:rsidR="00405F8E" w:rsidRDefault="00405F8E" w:rsidP="00FA71EE">
      <w:r>
        <w:rPr>
          <w:noProof/>
        </w:rPr>
        <w:drawing>
          <wp:inline distT="0" distB="0" distL="0" distR="0" wp14:anchorId="3DA10D93" wp14:editId="7ACB50C9">
            <wp:extent cx="5780314" cy="3929743"/>
            <wp:effectExtent l="0" t="0" r="11430" b="13970"/>
            <wp:docPr id="993440264" name="Chart 1" descr="Chart type: Stacked Bar. 'Country': United States and United Kingdom have noticeably higher 'Total_Docs_3years'.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536C331-637B-59B7-5B2A-E0E070BC15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2F45CC4" w14:textId="1B4E3CCD" w:rsidR="00107ECB" w:rsidRPr="00895BAA" w:rsidRDefault="00332E10" w:rsidP="00895BAA">
      <w:pPr>
        <w:jc w:val="center"/>
        <w:rPr>
          <w:b/>
          <w:bCs/>
        </w:rPr>
      </w:pPr>
      <w:r w:rsidRPr="00895BAA">
        <w:rPr>
          <w:b/>
          <w:bCs/>
        </w:rPr>
        <w:t>Ranking of countries by highest number of publications in 3 years</w:t>
      </w:r>
    </w:p>
    <w:p w14:paraId="582F2C54" w14:textId="496AD82F" w:rsidR="00817B11" w:rsidRPr="005C41C4" w:rsidRDefault="00817B11" w:rsidP="00FA71EE">
      <w:r>
        <w:t>In total</w:t>
      </w:r>
      <w:r w:rsidR="00CE0B5A">
        <w:t>,</w:t>
      </w:r>
      <w:r>
        <w:t xml:space="preserve"> there are five </w:t>
      </w:r>
      <w:r w:rsidR="00CE0B5A">
        <w:t xml:space="preserve">tracking and analysis sheets provided in the </w:t>
      </w:r>
      <w:r w:rsidR="00734BE7">
        <w:t>attached spread sheet. Kindly refer to the spreadsheet for detailed analysis.</w:t>
      </w:r>
    </w:p>
    <w:sectPr w:rsidR="00817B11" w:rsidRPr="005C41C4" w:rsidSect="00421BF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4E7B"/>
    <w:multiLevelType w:val="hybridMultilevel"/>
    <w:tmpl w:val="88E42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14D13"/>
    <w:multiLevelType w:val="hybridMultilevel"/>
    <w:tmpl w:val="BEBA9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271290"/>
    <w:multiLevelType w:val="hybridMultilevel"/>
    <w:tmpl w:val="088AD0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0618A"/>
    <w:multiLevelType w:val="hybridMultilevel"/>
    <w:tmpl w:val="5B74E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2902751">
    <w:abstractNumId w:val="1"/>
  </w:num>
  <w:num w:numId="2" w16cid:durableId="2056851430">
    <w:abstractNumId w:val="0"/>
  </w:num>
  <w:num w:numId="3" w16cid:durableId="1264845824">
    <w:abstractNumId w:val="2"/>
  </w:num>
  <w:num w:numId="4" w16cid:durableId="1317874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3A"/>
    <w:rsid w:val="0001646F"/>
    <w:rsid w:val="00035721"/>
    <w:rsid w:val="00036DC3"/>
    <w:rsid w:val="00037E70"/>
    <w:rsid w:val="000607DF"/>
    <w:rsid w:val="00073183"/>
    <w:rsid w:val="00094409"/>
    <w:rsid w:val="000A2CB6"/>
    <w:rsid w:val="000A328B"/>
    <w:rsid w:val="000C0F4F"/>
    <w:rsid w:val="000E11DD"/>
    <w:rsid w:val="000E7D61"/>
    <w:rsid w:val="00100CAC"/>
    <w:rsid w:val="00107ECB"/>
    <w:rsid w:val="00112411"/>
    <w:rsid w:val="00117269"/>
    <w:rsid w:val="00123CED"/>
    <w:rsid w:val="001F31AE"/>
    <w:rsid w:val="001F3486"/>
    <w:rsid w:val="001F3591"/>
    <w:rsid w:val="001F5523"/>
    <w:rsid w:val="00213DBB"/>
    <w:rsid w:val="00220F5F"/>
    <w:rsid w:val="00227A90"/>
    <w:rsid w:val="00232643"/>
    <w:rsid w:val="00236CC1"/>
    <w:rsid w:val="0023771B"/>
    <w:rsid w:val="00247D7A"/>
    <w:rsid w:val="00255696"/>
    <w:rsid w:val="0025617A"/>
    <w:rsid w:val="002A2F7A"/>
    <w:rsid w:val="002B44D8"/>
    <w:rsid w:val="002B663A"/>
    <w:rsid w:val="003019BF"/>
    <w:rsid w:val="003204EB"/>
    <w:rsid w:val="00331501"/>
    <w:rsid w:val="00332E10"/>
    <w:rsid w:val="00347C82"/>
    <w:rsid w:val="00354E35"/>
    <w:rsid w:val="003648C0"/>
    <w:rsid w:val="00397D0C"/>
    <w:rsid w:val="003A23DB"/>
    <w:rsid w:val="003F2140"/>
    <w:rsid w:val="00405F8E"/>
    <w:rsid w:val="00413392"/>
    <w:rsid w:val="0041341C"/>
    <w:rsid w:val="00421BF2"/>
    <w:rsid w:val="00440369"/>
    <w:rsid w:val="00461C4F"/>
    <w:rsid w:val="00463EA6"/>
    <w:rsid w:val="00472F7C"/>
    <w:rsid w:val="004A3F15"/>
    <w:rsid w:val="004B40B3"/>
    <w:rsid w:val="004B4F0A"/>
    <w:rsid w:val="004C201F"/>
    <w:rsid w:val="00561C4C"/>
    <w:rsid w:val="00577EC4"/>
    <w:rsid w:val="005A4781"/>
    <w:rsid w:val="005B515E"/>
    <w:rsid w:val="005C1B9E"/>
    <w:rsid w:val="005C41C4"/>
    <w:rsid w:val="005E610B"/>
    <w:rsid w:val="005F1049"/>
    <w:rsid w:val="005F1146"/>
    <w:rsid w:val="005F7884"/>
    <w:rsid w:val="005F7E52"/>
    <w:rsid w:val="006009E1"/>
    <w:rsid w:val="00615963"/>
    <w:rsid w:val="00654A6E"/>
    <w:rsid w:val="00677E9C"/>
    <w:rsid w:val="0069408C"/>
    <w:rsid w:val="0069526F"/>
    <w:rsid w:val="006A7142"/>
    <w:rsid w:val="006E0849"/>
    <w:rsid w:val="006F2B22"/>
    <w:rsid w:val="006F4864"/>
    <w:rsid w:val="007114D4"/>
    <w:rsid w:val="00734BE7"/>
    <w:rsid w:val="00743107"/>
    <w:rsid w:val="00761865"/>
    <w:rsid w:val="007820EB"/>
    <w:rsid w:val="007A3321"/>
    <w:rsid w:val="007B1771"/>
    <w:rsid w:val="007B6407"/>
    <w:rsid w:val="007C1FB8"/>
    <w:rsid w:val="007D603A"/>
    <w:rsid w:val="007D6A1F"/>
    <w:rsid w:val="007E48B3"/>
    <w:rsid w:val="007F5C90"/>
    <w:rsid w:val="007F7448"/>
    <w:rsid w:val="00803BB3"/>
    <w:rsid w:val="00807CFF"/>
    <w:rsid w:val="00817B11"/>
    <w:rsid w:val="00843F58"/>
    <w:rsid w:val="00855925"/>
    <w:rsid w:val="008842B2"/>
    <w:rsid w:val="00895BAA"/>
    <w:rsid w:val="008B791B"/>
    <w:rsid w:val="008C105C"/>
    <w:rsid w:val="008C3CDA"/>
    <w:rsid w:val="008E1DF2"/>
    <w:rsid w:val="008E30C9"/>
    <w:rsid w:val="008E66E8"/>
    <w:rsid w:val="008F173F"/>
    <w:rsid w:val="008F1755"/>
    <w:rsid w:val="009117D3"/>
    <w:rsid w:val="00911983"/>
    <w:rsid w:val="00930DDE"/>
    <w:rsid w:val="0093341C"/>
    <w:rsid w:val="00937AD1"/>
    <w:rsid w:val="009426F7"/>
    <w:rsid w:val="00943F52"/>
    <w:rsid w:val="009465CE"/>
    <w:rsid w:val="00962918"/>
    <w:rsid w:val="009A15CC"/>
    <w:rsid w:val="009A2252"/>
    <w:rsid w:val="009B2054"/>
    <w:rsid w:val="009D4234"/>
    <w:rsid w:val="009D6A4A"/>
    <w:rsid w:val="009E53C1"/>
    <w:rsid w:val="009F5CA7"/>
    <w:rsid w:val="00A10DE4"/>
    <w:rsid w:val="00A20829"/>
    <w:rsid w:val="00A55AEC"/>
    <w:rsid w:val="00A61B5F"/>
    <w:rsid w:val="00A90793"/>
    <w:rsid w:val="00AA5CEA"/>
    <w:rsid w:val="00AB6F29"/>
    <w:rsid w:val="00AB75F3"/>
    <w:rsid w:val="00AC4784"/>
    <w:rsid w:val="00AC72EB"/>
    <w:rsid w:val="00AF05FB"/>
    <w:rsid w:val="00B02B17"/>
    <w:rsid w:val="00B10E45"/>
    <w:rsid w:val="00B2165E"/>
    <w:rsid w:val="00B2339E"/>
    <w:rsid w:val="00BA632F"/>
    <w:rsid w:val="00BC038F"/>
    <w:rsid w:val="00BC4D8B"/>
    <w:rsid w:val="00C214AF"/>
    <w:rsid w:val="00C35286"/>
    <w:rsid w:val="00C4403E"/>
    <w:rsid w:val="00C53BF1"/>
    <w:rsid w:val="00C55DEA"/>
    <w:rsid w:val="00C63C26"/>
    <w:rsid w:val="00C92663"/>
    <w:rsid w:val="00C96972"/>
    <w:rsid w:val="00CB19E1"/>
    <w:rsid w:val="00CD7D8D"/>
    <w:rsid w:val="00CE0B5A"/>
    <w:rsid w:val="00CE2075"/>
    <w:rsid w:val="00CE4462"/>
    <w:rsid w:val="00CE50DB"/>
    <w:rsid w:val="00CE7C89"/>
    <w:rsid w:val="00D249B8"/>
    <w:rsid w:val="00D31899"/>
    <w:rsid w:val="00D32660"/>
    <w:rsid w:val="00D42E10"/>
    <w:rsid w:val="00D67055"/>
    <w:rsid w:val="00D817FE"/>
    <w:rsid w:val="00D86570"/>
    <w:rsid w:val="00DA3D75"/>
    <w:rsid w:val="00DB2992"/>
    <w:rsid w:val="00DB601D"/>
    <w:rsid w:val="00DC1360"/>
    <w:rsid w:val="00DC5238"/>
    <w:rsid w:val="00DD4FC0"/>
    <w:rsid w:val="00DE7429"/>
    <w:rsid w:val="00DF32E2"/>
    <w:rsid w:val="00E27C48"/>
    <w:rsid w:val="00E65ABE"/>
    <w:rsid w:val="00F000C4"/>
    <w:rsid w:val="00F043EA"/>
    <w:rsid w:val="00F058AA"/>
    <w:rsid w:val="00F10F3C"/>
    <w:rsid w:val="00F50156"/>
    <w:rsid w:val="00F70461"/>
    <w:rsid w:val="00FA71EE"/>
    <w:rsid w:val="00FD26D3"/>
    <w:rsid w:val="00F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72D9"/>
  <w15:chartTrackingRefBased/>
  <w15:docId w15:val="{53A665A2-8CF0-43DF-84E6-8B1E6302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magojr.com/journalrank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cimagojr.com/journalrank.php" TargetMode="Externa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c6bbb4b098569fe/_dropboxBkup/_College_Canada/Georgian%20College%20-%20BDAT/Courses/Winter%202024/BDAT%201005/DE1/Soln/Scimago202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c6bbb4b098569fe/_dropboxBkup/_College_Canada/Georgian%20College%20-%20BDAT/Courses/Winter%202024/BDAT%201005/DE1/Soln/Scimago202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https://d.docs.live.net/3c6bbb4b098569fe/_dropboxBkup/_College_Canada/Georgian%20College%20-%20BDAT/Courses/Winter%202024/BDAT%201005/DE1/Soln/Scimago202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[Scimago2022.xlsx]Tracking and Analysis 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Distribution of Journals across Regions</a:t>
            </a:r>
            <a:r>
              <a:rPr lang="en-US" baseline="0"/>
              <a:t> &amp; country per SJR Quartile Rank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'Tracking and Analysis 1'!$B$3:$B$4</c:f>
              <c:strCache>
                <c:ptCount val="1"/>
                <c:pt idx="0">
                  <c:v>-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'Tracking and Analysis 1'!$A$5:$A$14</c:f>
              <c:strCache>
                <c:ptCount val="9"/>
                <c:pt idx="0">
                  <c:v>Africa</c:v>
                </c:pt>
                <c:pt idx="1">
                  <c:v>Africa/Middle East</c:v>
                </c:pt>
                <c:pt idx="2">
                  <c:v>Asiatic Region</c:v>
                </c:pt>
                <c:pt idx="3">
                  <c:v>Eastern Europe</c:v>
                </c:pt>
                <c:pt idx="4">
                  <c:v>Latin America</c:v>
                </c:pt>
                <c:pt idx="5">
                  <c:v>Middle East</c:v>
                </c:pt>
                <c:pt idx="6">
                  <c:v>Northern America</c:v>
                </c:pt>
                <c:pt idx="7">
                  <c:v>Pacific Region</c:v>
                </c:pt>
                <c:pt idx="8">
                  <c:v>Western Europe</c:v>
                </c:pt>
              </c:strCache>
            </c:strRef>
          </c:cat>
          <c:val>
            <c:numRef>
              <c:f>'Tracking and Analysis 1'!$B$5:$B$14</c:f>
              <c:numCache>
                <c:formatCode>General</c:formatCode>
                <c:ptCount val="9"/>
                <c:pt idx="1">
                  <c:v>1</c:v>
                </c:pt>
                <c:pt idx="2">
                  <c:v>41</c:v>
                </c:pt>
                <c:pt idx="3">
                  <c:v>23</c:v>
                </c:pt>
                <c:pt idx="4">
                  <c:v>9</c:v>
                </c:pt>
                <c:pt idx="5">
                  <c:v>10</c:v>
                </c:pt>
                <c:pt idx="6">
                  <c:v>176</c:v>
                </c:pt>
                <c:pt idx="7">
                  <c:v>3</c:v>
                </c:pt>
                <c:pt idx="8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4F-418A-836C-3096B367DBED}"/>
            </c:ext>
          </c:extLst>
        </c:ser>
        <c:ser>
          <c:idx val="1"/>
          <c:order val="1"/>
          <c:tx>
            <c:strRef>
              <c:f>'Tracking and Analysis 1'!$C$3:$C$4</c:f>
              <c:strCache>
                <c:ptCount val="1"/>
                <c:pt idx="0">
                  <c:v>Q1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'Tracking and Analysis 1'!$A$5:$A$14</c:f>
              <c:strCache>
                <c:ptCount val="9"/>
                <c:pt idx="0">
                  <c:v>Africa</c:v>
                </c:pt>
                <c:pt idx="1">
                  <c:v>Africa/Middle East</c:v>
                </c:pt>
                <c:pt idx="2">
                  <c:v>Asiatic Region</c:v>
                </c:pt>
                <c:pt idx="3">
                  <c:v>Eastern Europe</c:v>
                </c:pt>
                <c:pt idx="4">
                  <c:v>Latin America</c:v>
                </c:pt>
                <c:pt idx="5">
                  <c:v>Middle East</c:v>
                </c:pt>
                <c:pt idx="6">
                  <c:v>Northern America</c:v>
                </c:pt>
                <c:pt idx="7">
                  <c:v>Pacific Region</c:v>
                </c:pt>
                <c:pt idx="8">
                  <c:v>Western Europe</c:v>
                </c:pt>
              </c:strCache>
            </c:strRef>
          </c:cat>
          <c:val>
            <c:numRef>
              <c:f>'Tracking and Analysis 1'!$C$5:$C$14</c:f>
              <c:numCache>
                <c:formatCode>General</c:formatCode>
                <c:ptCount val="9"/>
                <c:pt idx="0">
                  <c:v>9</c:v>
                </c:pt>
                <c:pt idx="1">
                  <c:v>11</c:v>
                </c:pt>
                <c:pt idx="2">
                  <c:v>334</c:v>
                </c:pt>
                <c:pt idx="3">
                  <c:v>180</c:v>
                </c:pt>
                <c:pt idx="4">
                  <c:v>57</c:v>
                </c:pt>
                <c:pt idx="5">
                  <c:v>38</c:v>
                </c:pt>
                <c:pt idx="6">
                  <c:v>2750</c:v>
                </c:pt>
                <c:pt idx="7">
                  <c:v>63</c:v>
                </c:pt>
                <c:pt idx="8">
                  <c:v>4823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4F-418A-836C-3096B367DBED}"/>
            </c:ext>
          </c:extLst>
        </c:ser>
        <c:ser>
          <c:idx val="2"/>
          <c:order val="2"/>
          <c:tx>
            <c:strRef>
              <c:f>'Tracking and Analysis 1'!$D$3:$D$4</c:f>
              <c:strCache>
                <c:ptCount val="1"/>
                <c:pt idx="0">
                  <c:v>Q2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'Tracking and Analysis 1'!$A$5:$A$14</c:f>
              <c:strCache>
                <c:ptCount val="9"/>
                <c:pt idx="0">
                  <c:v>Africa</c:v>
                </c:pt>
                <c:pt idx="1">
                  <c:v>Africa/Middle East</c:v>
                </c:pt>
                <c:pt idx="2">
                  <c:v>Asiatic Region</c:v>
                </c:pt>
                <c:pt idx="3">
                  <c:v>Eastern Europe</c:v>
                </c:pt>
                <c:pt idx="4">
                  <c:v>Latin America</c:v>
                </c:pt>
                <c:pt idx="5">
                  <c:v>Middle East</c:v>
                </c:pt>
                <c:pt idx="6">
                  <c:v>Northern America</c:v>
                </c:pt>
                <c:pt idx="7">
                  <c:v>Pacific Region</c:v>
                </c:pt>
                <c:pt idx="8">
                  <c:v>Western Europe</c:v>
                </c:pt>
              </c:strCache>
            </c:strRef>
          </c:cat>
          <c:val>
            <c:numRef>
              <c:f>'Tracking and Analysis 1'!$D$5:$D$14</c:f>
              <c:numCache>
                <c:formatCode>General</c:formatCode>
                <c:ptCount val="9"/>
                <c:pt idx="0">
                  <c:v>28</c:v>
                </c:pt>
                <c:pt idx="1">
                  <c:v>45</c:v>
                </c:pt>
                <c:pt idx="2">
                  <c:v>514</c:v>
                </c:pt>
                <c:pt idx="3">
                  <c:v>404</c:v>
                </c:pt>
                <c:pt idx="4">
                  <c:v>177</c:v>
                </c:pt>
                <c:pt idx="5">
                  <c:v>99</c:v>
                </c:pt>
                <c:pt idx="6">
                  <c:v>1843</c:v>
                </c:pt>
                <c:pt idx="7">
                  <c:v>100</c:v>
                </c:pt>
                <c:pt idx="8">
                  <c:v>3772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F4F-418A-836C-3096B367DBED}"/>
            </c:ext>
          </c:extLst>
        </c:ser>
        <c:ser>
          <c:idx val="3"/>
          <c:order val="3"/>
          <c:tx>
            <c:strRef>
              <c:f>'Tracking and Analysis 1'!$E$3:$E$4</c:f>
              <c:strCache>
                <c:ptCount val="1"/>
                <c:pt idx="0">
                  <c:v>Q3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'Tracking and Analysis 1'!$A$5:$A$14</c:f>
              <c:strCache>
                <c:ptCount val="9"/>
                <c:pt idx="0">
                  <c:v>Africa</c:v>
                </c:pt>
                <c:pt idx="1">
                  <c:v>Africa/Middle East</c:v>
                </c:pt>
                <c:pt idx="2">
                  <c:v>Asiatic Region</c:v>
                </c:pt>
                <c:pt idx="3">
                  <c:v>Eastern Europe</c:v>
                </c:pt>
                <c:pt idx="4">
                  <c:v>Latin America</c:v>
                </c:pt>
                <c:pt idx="5">
                  <c:v>Middle East</c:v>
                </c:pt>
                <c:pt idx="6">
                  <c:v>Northern America</c:v>
                </c:pt>
                <c:pt idx="7">
                  <c:v>Pacific Region</c:v>
                </c:pt>
                <c:pt idx="8">
                  <c:v>Western Europe</c:v>
                </c:pt>
              </c:strCache>
            </c:strRef>
          </c:cat>
          <c:val>
            <c:numRef>
              <c:f>'Tracking and Analysis 1'!$E$5:$E$14</c:f>
              <c:numCache>
                <c:formatCode>General</c:formatCode>
                <c:ptCount val="9"/>
                <c:pt idx="0">
                  <c:v>65</c:v>
                </c:pt>
                <c:pt idx="1">
                  <c:v>40</c:v>
                </c:pt>
                <c:pt idx="2">
                  <c:v>882</c:v>
                </c:pt>
                <c:pt idx="3">
                  <c:v>784</c:v>
                </c:pt>
                <c:pt idx="4">
                  <c:v>336</c:v>
                </c:pt>
                <c:pt idx="5">
                  <c:v>291</c:v>
                </c:pt>
                <c:pt idx="6">
                  <c:v>1329</c:v>
                </c:pt>
                <c:pt idx="7">
                  <c:v>75</c:v>
                </c:pt>
                <c:pt idx="8">
                  <c:v>2677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F4F-418A-836C-3096B367DBED}"/>
            </c:ext>
          </c:extLst>
        </c:ser>
        <c:ser>
          <c:idx val="4"/>
          <c:order val="4"/>
          <c:tx>
            <c:strRef>
              <c:f>'Tracking and Analysis 1'!$F$3:$F$4</c:f>
              <c:strCache>
                <c:ptCount val="1"/>
                <c:pt idx="0">
                  <c:v>Q4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'Tracking and Analysis 1'!$A$5:$A$14</c:f>
              <c:strCache>
                <c:ptCount val="9"/>
                <c:pt idx="0">
                  <c:v>Africa</c:v>
                </c:pt>
                <c:pt idx="1">
                  <c:v>Africa/Middle East</c:v>
                </c:pt>
                <c:pt idx="2">
                  <c:v>Asiatic Region</c:v>
                </c:pt>
                <c:pt idx="3">
                  <c:v>Eastern Europe</c:v>
                </c:pt>
                <c:pt idx="4">
                  <c:v>Latin America</c:v>
                </c:pt>
                <c:pt idx="5">
                  <c:v>Middle East</c:v>
                </c:pt>
                <c:pt idx="6">
                  <c:v>Northern America</c:v>
                </c:pt>
                <c:pt idx="7">
                  <c:v>Pacific Region</c:v>
                </c:pt>
                <c:pt idx="8">
                  <c:v>Western Europe</c:v>
                </c:pt>
              </c:strCache>
            </c:strRef>
          </c:cat>
          <c:val>
            <c:numRef>
              <c:f>'Tracking and Analysis 1'!$F$5:$F$14</c:f>
              <c:numCache>
                <c:formatCode>General</c:formatCode>
                <c:ptCount val="9"/>
                <c:pt idx="0">
                  <c:v>55</c:v>
                </c:pt>
                <c:pt idx="1">
                  <c:v>9</c:v>
                </c:pt>
                <c:pt idx="2">
                  <c:v>1074</c:v>
                </c:pt>
                <c:pt idx="3">
                  <c:v>961</c:v>
                </c:pt>
                <c:pt idx="4">
                  <c:v>394</c:v>
                </c:pt>
                <c:pt idx="5">
                  <c:v>272</c:v>
                </c:pt>
                <c:pt idx="6">
                  <c:v>918</c:v>
                </c:pt>
                <c:pt idx="7">
                  <c:v>83</c:v>
                </c:pt>
                <c:pt idx="8">
                  <c:v>2121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F4F-418A-836C-3096B367DB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24172303"/>
        <c:axId val="1108586543"/>
        <c:axId val="0"/>
      </c:bar3DChart>
      <c:catAx>
        <c:axId val="1524172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8586543"/>
        <c:crosses val="autoZero"/>
        <c:auto val="1"/>
        <c:lblAlgn val="ctr"/>
        <c:lblOffset val="100"/>
        <c:noMultiLvlLbl val="0"/>
      </c:catAx>
      <c:valAx>
        <c:axId val="1108586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4172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[Scimago2022.xlsx]Tracking and Analysis 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Research publication by country in 3 years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'Tracking and Analysis 3'!$B$2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438-4927-BD28-3C240411A300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438-4927-BD28-3C240411A300}"/>
              </c:ext>
            </c:extLst>
          </c:dPt>
          <c:cat>
            <c:strRef>
              <c:f>'Tracking and Analysis 3'!$A$3:$A$116</c:f>
              <c:strCache>
                <c:ptCount val="113"/>
                <c:pt idx="0">
                  <c:v>United States</c:v>
                </c:pt>
                <c:pt idx="1">
                  <c:v>United Kingdom</c:v>
                </c:pt>
                <c:pt idx="2">
                  <c:v>Netherlands</c:v>
                </c:pt>
                <c:pt idx="3">
                  <c:v>Switzerland</c:v>
                </c:pt>
                <c:pt idx="4">
                  <c:v>Germany</c:v>
                </c:pt>
                <c:pt idx="5">
                  <c:v>China</c:v>
                </c:pt>
                <c:pt idx="6">
                  <c:v>India</c:v>
                </c:pt>
                <c:pt idx="7">
                  <c:v>France</c:v>
                </c:pt>
                <c:pt idx="8">
                  <c:v>Russian Federation</c:v>
                </c:pt>
                <c:pt idx="9">
                  <c:v>Italy</c:v>
                </c:pt>
                <c:pt idx="10">
                  <c:v>Brazil</c:v>
                </c:pt>
                <c:pt idx="11">
                  <c:v>Japan</c:v>
                </c:pt>
                <c:pt idx="12">
                  <c:v>Spain</c:v>
                </c:pt>
                <c:pt idx="13">
                  <c:v>South Korea</c:v>
                </c:pt>
                <c:pt idx="14">
                  <c:v>Poland</c:v>
                </c:pt>
                <c:pt idx="15">
                  <c:v>Canada</c:v>
                </c:pt>
                <c:pt idx="16">
                  <c:v>Iran</c:v>
                </c:pt>
                <c:pt idx="17">
                  <c:v>Ireland</c:v>
                </c:pt>
                <c:pt idx="18">
                  <c:v>New Zealand</c:v>
                </c:pt>
                <c:pt idx="19">
                  <c:v>Turkey</c:v>
                </c:pt>
                <c:pt idx="20">
                  <c:v>Singapore</c:v>
                </c:pt>
                <c:pt idx="21">
                  <c:v>Egypt</c:v>
                </c:pt>
                <c:pt idx="22">
                  <c:v>Australia</c:v>
                </c:pt>
                <c:pt idx="23">
                  <c:v>Romania</c:v>
                </c:pt>
                <c:pt idx="24">
                  <c:v>Austria</c:v>
                </c:pt>
                <c:pt idx="25">
                  <c:v>Pakistan</c:v>
                </c:pt>
                <c:pt idx="26">
                  <c:v>Greece</c:v>
                </c:pt>
                <c:pt idx="27">
                  <c:v>Czech Republic</c:v>
                </c:pt>
                <c:pt idx="28">
                  <c:v>Malaysia</c:v>
                </c:pt>
                <c:pt idx="29">
                  <c:v>Indonesia</c:v>
                </c:pt>
                <c:pt idx="30">
                  <c:v>United Arab Emirates</c:v>
                </c:pt>
                <c:pt idx="31">
                  <c:v>Ukraine</c:v>
                </c:pt>
                <c:pt idx="32">
                  <c:v>Mexico</c:v>
                </c:pt>
                <c:pt idx="33">
                  <c:v>Croatia</c:v>
                </c:pt>
                <c:pt idx="34">
                  <c:v>Taiwan</c:v>
                </c:pt>
                <c:pt idx="35">
                  <c:v>Bulgaria</c:v>
                </c:pt>
                <c:pt idx="36">
                  <c:v>Serbia</c:v>
                </c:pt>
                <c:pt idx="37">
                  <c:v>Chile</c:v>
                </c:pt>
                <c:pt idx="38">
                  <c:v>Belgium</c:v>
                </c:pt>
                <c:pt idx="39">
                  <c:v>Colombia</c:v>
                </c:pt>
                <c:pt idx="40">
                  <c:v>Hungary</c:v>
                </c:pt>
                <c:pt idx="41">
                  <c:v>Thailand</c:v>
                </c:pt>
                <c:pt idx="42">
                  <c:v>South Africa</c:v>
                </c:pt>
                <c:pt idx="43">
                  <c:v>Slovakia</c:v>
                </c:pt>
                <c:pt idx="44">
                  <c:v>Portugal</c:v>
                </c:pt>
                <c:pt idx="45">
                  <c:v>Denmark</c:v>
                </c:pt>
                <c:pt idx="46">
                  <c:v>Hong Kong</c:v>
                </c:pt>
                <c:pt idx="47">
                  <c:v>Slovenia</c:v>
                </c:pt>
                <c:pt idx="48">
                  <c:v>Argentina</c:v>
                </c:pt>
                <c:pt idx="49">
                  <c:v>Lithuania</c:v>
                </c:pt>
                <c:pt idx="50">
                  <c:v>Saudi Arabia</c:v>
                </c:pt>
                <c:pt idx="51">
                  <c:v>Nigeria</c:v>
                </c:pt>
                <c:pt idx="52">
                  <c:v>Sweden</c:v>
                </c:pt>
                <c:pt idx="53">
                  <c:v>Cuba</c:v>
                </c:pt>
                <c:pt idx="54">
                  <c:v>Venezuela</c:v>
                </c:pt>
                <c:pt idx="55">
                  <c:v>Norway</c:v>
                </c:pt>
                <c:pt idx="56">
                  <c:v>Macedonia</c:v>
                </c:pt>
                <c:pt idx="57">
                  <c:v>Iraq</c:v>
                </c:pt>
                <c:pt idx="58">
                  <c:v>Finland</c:v>
                </c:pt>
                <c:pt idx="59">
                  <c:v>Estonia</c:v>
                </c:pt>
                <c:pt idx="60">
                  <c:v>Peru</c:v>
                </c:pt>
                <c:pt idx="61">
                  <c:v>Philippines</c:v>
                </c:pt>
                <c:pt idx="62">
                  <c:v>Bosnia and Herzegovina</c:v>
                </c:pt>
                <c:pt idx="63">
                  <c:v>Jordan</c:v>
                </c:pt>
                <c:pt idx="64">
                  <c:v>Belarus</c:v>
                </c:pt>
                <c:pt idx="65">
                  <c:v>Nepal</c:v>
                </c:pt>
                <c:pt idx="66">
                  <c:v>Georgia</c:v>
                </c:pt>
                <c:pt idx="67">
                  <c:v>Bangladesh</c:v>
                </c:pt>
                <c:pt idx="68">
                  <c:v>Israel</c:v>
                </c:pt>
                <c:pt idx="69">
                  <c:v>Montenegro</c:v>
                </c:pt>
                <c:pt idx="70">
                  <c:v>Costa Rica</c:v>
                </c:pt>
                <c:pt idx="71">
                  <c:v>Kazakhstan</c:v>
                </c:pt>
                <c:pt idx="72">
                  <c:v>Moldova</c:v>
                </c:pt>
                <c:pt idx="73">
                  <c:v>Cyprus</c:v>
                </c:pt>
                <c:pt idx="74">
                  <c:v>Azerbaijan</c:v>
                </c:pt>
                <c:pt idx="75">
                  <c:v>Kuwait</c:v>
                </c:pt>
                <c:pt idx="76">
                  <c:v>Ethiopia</c:v>
                </c:pt>
                <c:pt idx="77">
                  <c:v>Oman</c:v>
                </c:pt>
                <c:pt idx="78">
                  <c:v>Sri Lanka</c:v>
                </c:pt>
                <c:pt idx="79">
                  <c:v>Ecuador</c:v>
                </c:pt>
                <c:pt idx="80">
                  <c:v>Latvia</c:v>
                </c:pt>
                <c:pt idx="81">
                  <c:v>Uganda</c:v>
                </c:pt>
                <c:pt idx="82">
                  <c:v>Mauritius</c:v>
                </c:pt>
                <c:pt idx="83">
                  <c:v>Kenya</c:v>
                </c:pt>
                <c:pt idx="84">
                  <c:v>Bahrain</c:v>
                </c:pt>
                <c:pt idx="85">
                  <c:v>Iceland</c:v>
                </c:pt>
                <c:pt idx="86">
                  <c:v>Tunisia</c:v>
                </c:pt>
                <c:pt idx="87">
                  <c:v>Lebanon</c:v>
                </c:pt>
                <c:pt idx="88">
                  <c:v>Armenia</c:v>
                </c:pt>
                <c:pt idx="89">
                  <c:v>Palestine</c:v>
                </c:pt>
                <c:pt idx="90">
                  <c:v>Ghana</c:v>
                </c:pt>
                <c:pt idx="91">
                  <c:v>Viet Nam</c:v>
                </c:pt>
                <c:pt idx="92">
                  <c:v>Morocco</c:v>
                </c:pt>
                <c:pt idx="93">
                  <c:v>Qatar</c:v>
                </c:pt>
                <c:pt idx="94">
                  <c:v>Libya</c:v>
                </c:pt>
                <c:pt idx="95">
                  <c:v>Jamaica</c:v>
                </c:pt>
                <c:pt idx="96">
                  <c:v>Puerto Rico</c:v>
                </c:pt>
                <c:pt idx="97">
                  <c:v>Malta</c:v>
                </c:pt>
                <c:pt idx="98">
                  <c:v>Malawi</c:v>
                </c:pt>
                <c:pt idx="99">
                  <c:v>Luxembourg</c:v>
                </c:pt>
                <c:pt idx="100">
                  <c:v>Uruguay</c:v>
                </c:pt>
                <c:pt idx="101">
                  <c:v>Bolivia</c:v>
                </c:pt>
                <c:pt idx="102">
                  <c:v>Senegal</c:v>
                </c:pt>
                <c:pt idx="103">
                  <c:v>Zimbabwe</c:v>
                </c:pt>
                <c:pt idx="104">
                  <c:v>Rwanda</c:v>
                </c:pt>
                <c:pt idx="105">
                  <c:v>Trinidad and Tobago</c:v>
                </c:pt>
                <c:pt idx="106">
                  <c:v>Brunei Darussalam</c:v>
                </c:pt>
                <c:pt idx="107">
                  <c:v>Algeria</c:v>
                </c:pt>
                <c:pt idx="108">
                  <c:v>Albania</c:v>
                </c:pt>
                <c:pt idx="109">
                  <c:v>Tanzania</c:v>
                </c:pt>
                <c:pt idx="110">
                  <c:v>Mongolia</c:v>
                </c:pt>
                <c:pt idx="111">
                  <c:v>Vatican City State</c:v>
                </c:pt>
                <c:pt idx="112">
                  <c:v>Mali</c:v>
                </c:pt>
              </c:strCache>
            </c:strRef>
          </c:cat>
          <c:val>
            <c:numRef>
              <c:f>'Tracking and Analysis 3'!$B$3:$B$116</c:f>
              <c:numCache>
                <c:formatCode>General</c:formatCode>
                <c:ptCount val="113"/>
                <c:pt idx="0">
                  <c:v>2719073</c:v>
                </c:pt>
                <c:pt idx="1">
                  <c:v>2354639</c:v>
                </c:pt>
                <c:pt idx="2">
                  <c:v>923668</c:v>
                </c:pt>
                <c:pt idx="3">
                  <c:v>792280</c:v>
                </c:pt>
                <c:pt idx="4">
                  <c:v>584533</c:v>
                </c:pt>
                <c:pt idx="5">
                  <c:v>377770</c:v>
                </c:pt>
                <c:pt idx="6">
                  <c:v>128914</c:v>
                </c:pt>
                <c:pt idx="7">
                  <c:v>125997</c:v>
                </c:pt>
                <c:pt idx="8">
                  <c:v>95867</c:v>
                </c:pt>
                <c:pt idx="9">
                  <c:v>94362</c:v>
                </c:pt>
                <c:pt idx="10">
                  <c:v>89657</c:v>
                </c:pt>
                <c:pt idx="11">
                  <c:v>88411</c:v>
                </c:pt>
                <c:pt idx="12">
                  <c:v>78341</c:v>
                </c:pt>
                <c:pt idx="13">
                  <c:v>70523</c:v>
                </c:pt>
                <c:pt idx="14">
                  <c:v>67545</c:v>
                </c:pt>
                <c:pt idx="15">
                  <c:v>44930</c:v>
                </c:pt>
                <c:pt idx="16">
                  <c:v>44124</c:v>
                </c:pt>
                <c:pt idx="17">
                  <c:v>43379</c:v>
                </c:pt>
                <c:pt idx="18">
                  <c:v>41604</c:v>
                </c:pt>
                <c:pt idx="19">
                  <c:v>39394</c:v>
                </c:pt>
                <c:pt idx="20">
                  <c:v>38549</c:v>
                </c:pt>
                <c:pt idx="21">
                  <c:v>33821</c:v>
                </c:pt>
                <c:pt idx="22">
                  <c:v>32711</c:v>
                </c:pt>
                <c:pt idx="23">
                  <c:v>28980</c:v>
                </c:pt>
                <c:pt idx="24">
                  <c:v>28075</c:v>
                </c:pt>
                <c:pt idx="25">
                  <c:v>22207</c:v>
                </c:pt>
                <c:pt idx="26">
                  <c:v>21890</c:v>
                </c:pt>
                <c:pt idx="27">
                  <c:v>21583</c:v>
                </c:pt>
                <c:pt idx="28">
                  <c:v>21547</c:v>
                </c:pt>
                <c:pt idx="29">
                  <c:v>20511</c:v>
                </c:pt>
                <c:pt idx="30">
                  <c:v>18565</c:v>
                </c:pt>
                <c:pt idx="31">
                  <c:v>17024</c:v>
                </c:pt>
                <c:pt idx="32">
                  <c:v>16072</c:v>
                </c:pt>
                <c:pt idx="33">
                  <c:v>15941</c:v>
                </c:pt>
                <c:pt idx="34">
                  <c:v>15222</c:v>
                </c:pt>
                <c:pt idx="35">
                  <c:v>14998</c:v>
                </c:pt>
                <c:pt idx="36">
                  <c:v>14801</c:v>
                </c:pt>
                <c:pt idx="37">
                  <c:v>14605</c:v>
                </c:pt>
                <c:pt idx="38">
                  <c:v>14013</c:v>
                </c:pt>
                <c:pt idx="39">
                  <c:v>13379</c:v>
                </c:pt>
                <c:pt idx="40">
                  <c:v>13140</c:v>
                </c:pt>
                <c:pt idx="41">
                  <c:v>13064</c:v>
                </c:pt>
                <c:pt idx="42">
                  <c:v>12450</c:v>
                </c:pt>
                <c:pt idx="43">
                  <c:v>10253</c:v>
                </c:pt>
                <c:pt idx="44">
                  <c:v>9853</c:v>
                </c:pt>
                <c:pt idx="45">
                  <c:v>9354</c:v>
                </c:pt>
                <c:pt idx="46">
                  <c:v>8014</c:v>
                </c:pt>
                <c:pt idx="47">
                  <c:v>7907</c:v>
                </c:pt>
                <c:pt idx="48">
                  <c:v>7847</c:v>
                </c:pt>
                <c:pt idx="49">
                  <c:v>7586</c:v>
                </c:pt>
                <c:pt idx="50">
                  <c:v>7424</c:v>
                </c:pt>
                <c:pt idx="51">
                  <c:v>7197</c:v>
                </c:pt>
                <c:pt idx="52">
                  <c:v>6711</c:v>
                </c:pt>
                <c:pt idx="53">
                  <c:v>4901</c:v>
                </c:pt>
                <c:pt idx="54">
                  <c:v>4569</c:v>
                </c:pt>
                <c:pt idx="55">
                  <c:v>3884</c:v>
                </c:pt>
                <c:pt idx="56">
                  <c:v>3688</c:v>
                </c:pt>
                <c:pt idx="57">
                  <c:v>3310</c:v>
                </c:pt>
                <c:pt idx="58">
                  <c:v>3242</c:v>
                </c:pt>
                <c:pt idx="59">
                  <c:v>2670</c:v>
                </c:pt>
                <c:pt idx="60">
                  <c:v>2627</c:v>
                </c:pt>
                <c:pt idx="61">
                  <c:v>2512</c:v>
                </c:pt>
                <c:pt idx="62">
                  <c:v>2478</c:v>
                </c:pt>
                <c:pt idx="63">
                  <c:v>2175</c:v>
                </c:pt>
                <c:pt idx="64">
                  <c:v>2019</c:v>
                </c:pt>
                <c:pt idx="65">
                  <c:v>1690</c:v>
                </c:pt>
                <c:pt idx="66">
                  <c:v>1644</c:v>
                </c:pt>
                <c:pt idx="67">
                  <c:v>1626</c:v>
                </c:pt>
                <c:pt idx="68">
                  <c:v>1473</c:v>
                </c:pt>
                <c:pt idx="69">
                  <c:v>1268</c:v>
                </c:pt>
                <c:pt idx="70">
                  <c:v>1117</c:v>
                </c:pt>
                <c:pt idx="71">
                  <c:v>1109</c:v>
                </c:pt>
                <c:pt idx="72">
                  <c:v>1097</c:v>
                </c:pt>
                <c:pt idx="73">
                  <c:v>1070</c:v>
                </c:pt>
                <c:pt idx="74">
                  <c:v>1069</c:v>
                </c:pt>
                <c:pt idx="75">
                  <c:v>973</c:v>
                </c:pt>
                <c:pt idx="76">
                  <c:v>817</c:v>
                </c:pt>
                <c:pt idx="77">
                  <c:v>764</c:v>
                </c:pt>
                <c:pt idx="78">
                  <c:v>760</c:v>
                </c:pt>
                <c:pt idx="79">
                  <c:v>734</c:v>
                </c:pt>
                <c:pt idx="80">
                  <c:v>721</c:v>
                </c:pt>
                <c:pt idx="81">
                  <c:v>703</c:v>
                </c:pt>
                <c:pt idx="82">
                  <c:v>649</c:v>
                </c:pt>
                <c:pt idx="83">
                  <c:v>613</c:v>
                </c:pt>
                <c:pt idx="84">
                  <c:v>590</c:v>
                </c:pt>
                <c:pt idx="85">
                  <c:v>566</c:v>
                </c:pt>
                <c:pt idx="86">
                  <c:v>506</c:v>
                </c:pt>
                <c:pt idx="87">
                  <c:v>423</c:v>
                </c:pt>
                <c:pt idx="88">
                  <c:v>385</c:v>
                </c:pt>
                <c:pt idx="89">
                  <c:v>354</c:v>
                </c:pt>
                <c:pt idx="90">
                  <c:v>342</c:v>
                </c:pt>
                <c:pt idx="91">
                  <c:v>300</c:v>
                </c:pt>
                <c:pt idx="92">
                  <c:v>278</c:v>
                </c:pt>
                <c:pt idx="93">
                  <c:v>270</c:v>
                </c:pt>
                <c:pt idx="94">
                  <c:v>218</c:v>
                </c:pt>
                <c:pt idx="95">
                  <c:v>169</c:v>
                </c:pt>
                <c:pt idx="96">
                  <c:v>167</c:v>
                </c:pt>
                <c:pt idx="97">
                  <c:v>158</c:v>
                </c:pt>
                <c:pt idx="98">
                  <c:v>148</c:v>
                </c:pt>
                <c:pt idx="99">
                  <c:v>132</c:v>
                </c:pt>
                <c:pt idx="100">
                  <c:v>131</c:v>
                </c:pt>
                <c:pt idx="101">
                  <c:v>131</c:v>
                </c:pt>
                <c:pt idx="102">
                  <c:v>124</c:v>
                </c:pt>
                <c:pt idx="103">
                  <c:v>100</c:v>
                </c:pt>
                <c:pt idx="104">
                  <c:v>75</c:v>
                </c:pt>
                <c:pt idx="105">
                  <c:v>73</c:v>
                </c:pt>
                <c:pt idx="106">
                  <c:v>52</c:v>
                </c:pt>
                <c:pt idx="107">
                  <c:v>43</c:v>
                </c:pt>
                <c:pt idx="108">
                  <c:v>30</c:v>
                </c:pt>
                <c:pt idx="109">
                  <c:v>21</c:v>
                </c:pt>
                <c:pt idx="110">
                  <c:v>19</c:v>
                </c:pt>
                <c:pt idx="111">
                  <c:v>15</c:v>
                </c:pt>
                <c:pt idx="1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438-4927-BD28-3C240411A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868039503"/>
        <c:axId val="1469599743"/>
      </c:barChart>
      <c:catAx>
        <c:axId val="868039503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9599743"/>
        <c:crosses val="autoZero"/>
        <c:auto val="1"/>
        <c:lblAlgn val="ctr"/>
        <c:lblOffset val="100"/>
        <c:noMultiLvlLbl val="0"/>
      </c:catAx>
      <c:valAx>
        <c:axId val="1469599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Total_Docs_3years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8039503"/>
        <c:crosses val="max"/>
        <c:crossBetween val="between"/>
        <c:dispUnits>
          <c:builtInUnit val="hundre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'[Scimago2022.xlsx]Tracking and Analysis 5'!$A$2:$B$114</cx:f>
        <cx:lvl ptCount="113">
          <cx:pt idx="0">Algeria</cx:pt>
          <cx:pt idx="1">Ethiopia</cx:pt>
          <cx:pt idx="2">Ghana</cx:pt>
          <cx:pt idx="3">Kenya</cx:pt>
          <cx:pt idx="4">Libya</cx:pt>
          <cx:pt idx="5">Malawi</cx:pt>
          <cx:pt idx="6">Mali</cx:pt>
          <cx:pt idx="7">Mauritius</cx:pt>
          <cx:pt idx="8">Morocco</cx:pt>
          <cx:pt idx="9">Nigeria</cx:pt>
          <cx:pt idx="10">Rwanda</cx:pt>
          <cx:pt idx="11">Senegal</cx:pt>
          <cx:pt idx="12">South Africa</cx:pt>
          <cx:pt idx="13">Tanzania</cx:pt>
          <cx:pt idx="14">Tunisia</cx:pt>
          <cx:pt idx="15">Uganda</cx:pt>
          <cx:pt idx="16">Zimbabwe</cx:pt>
          <cx:pt idx="17">Egypt</cx:pt>
          <cx:pt idx="18">Bangladesh</cx:pt>
          <cx:pt idx="19">Brunei Darussalam</cx:pt>
          <cx:pt idx="20">China</cx:pt>
          <cx:pt idx="21">Hong Kong</cx:pt>
          <cx:pt idx="22">India</cx:pt>
          <cx:pt idx="23">Indonesia</cx:pt>
          <cx:pt idx="24">Japan</cx:pt>
          <cx:pt idx="25">Kazakhstan</cx:pt>
          <cx:pt idx="26">Malaysia</cx:pt>
          <cx:pt idx="27">Mongolia</cx:pt>
          <cx:pt idx="28">Nepal</cx:pt>
          <cx:pt idx="29">Pakistan</cx:pt>
          <cx:pt idx="30">Philippines</cx:pt>
          <cx:pt idx="31">Singapore</cx:pt>
          <cx:pt idx="32">South Korea</cx:pt>
          <cx:pt idx="33">Sri Lanka</cx:pt>
          <cx:pt idx="34">Taiwan</cx:pt>
          <cx:pt idx="35">Thailand</cx:pt>
          <cx:pt idx="36">Viet Nam</cx:pt>
          <cx:pt idx="37">Albania</cx:pt>
          <cx:pt idx="38">Armenia</cx:pt>
          <cx:pt idx="39">Azerbaijan</cx:pt>
          <cx:pt idx="40">Belarus</cx:pt>
          <cx:pt idx="41">Bosnia and Herzegovina</cx:pt>
          <cx:pt idx="42">Bulgaria</cx:pt>
          <cx:pt idx="43">Croatia</cx:pt>
          <cx:pt idx="44">Czech Republic</cx:pt>
          <cx:pt idx="45">Estonia</cx:pt>
          <cx:pt idx="46">Georgia</cx:pt>
          <cx:pt idx="47">Hungary</cx:pt>
          <cx:pt idx="48">Latvia</cx:pt>
          <cx:pt idx="49">Lithuania</cx:pt>
          <cx:pt idx="50">Macedonia</cx:pt>
          <cx:pt idx="51">Moldova</cx:pt>
          <cx:pt idx="52">Montenegro</cx:pt>
          <cx:pt idx="53">Poland</cx:pt>
          <cx:pt idx="54">Romania</cx:pt>
          <cx:pt idx="55">Russian Federation</cx:pt>
          <cx:pt idx="56">Serbia</cx:pt>
          <cx:pt idx="57">Slovakia</cx:pt>
          <cx:pt idx="58">Slovenia</cx:pt>
          <cx:pt idx="59">Ukraine</cx:pt>
          <cx:pt idx="60">Argentina</cx:pt>
          <cx:pt idx="61">Bolivia</cx:pt>
          <cx:pt idx="62">Brazil</cx:pt>
          <cx:pt idx="63">Chile</cx:pt>
          <cx:pt idx="64">Colombia</cx:pt>
          <cx:pt idx="65">Costa Rica</cx:pt>
          <cx:pt idx="66">Cuba</cx:pt>
          <cx:pt idx="67">Ecuador</cx:pt>
          <cx:pt idx="68">Jamaica</cx:pt>
          <cx:pt idx="69">Mexico</cx:pt>
          <cx:pt idx="70">Peru</cx:pt>
          <cx:pt idx="71">Puerto Rico</cx:pt>
          <cx:pt idx="72">Trinidad and Tobago</cx:pt>
          <cx:pt idx="73">Uruguay</cx:pt>
          <cx:pt idx="74">Venezuela</cx:pt>
          <cx:pt idx="75">Bahrain</cx:pt>
          <cx:pt idx="76">Iran</cx:pt>
          <cx:pt idx="77">Iraq</cx:pt>
          <cx:pt idx="78">Israel</cx:pt>
          <cx:pt idx="79">Jordan</cx:pt>
          <cx:pt idx="80">Kuwait</cx:pt>
          <cx:pt idx="81">Lebanon</cx:pt>
          <cx:pt idx="82">Oman</cx:pt>
          <cx:pt idx="83">Palestine</cx:pt>
          <cx:pt idx="84">Qatar</cx:pt>
          <cx:pt idx="85">Saudi Arabia</cx:pt>
          <cx:pt idx="86">Turkey</cx:pt>
          <cx:pt idx="87">United Arab Emirates</cx:pt>
          <cx:pt idx="88">Canada</cx:pt>
          <cx:pt idx="89">United States</cx:pt>
          <cx:pt idx="90">Australia</cx:pt>
          <cx:pt idx="91">New Zealand</cx:pt>
          <cx:pt idx="92">Austria</cx:pt>
          <cx:pt idx="93">Belgium</cx:pt>
          <cx:pt idx="94">Cyprus</cx:pt>
          <cx:pt idx="95">Denmark</cx:pt>
          <cx:pt idx="96">Finland</cx:pt>
          <cx:pt idx="97">France</cx:pt>
          <cx:pt idx="98">Germany</cx:pt>
          <cx:pt idx="99">Greece</cx:pt>
          <cx:pt idx="100">Iceland</cx:pt>
          <cx:pt idx="101">Ireland</cx:pt>
          <cx:pt idx="102">Italy</cx:pt>
          <cx:pt idx="103">Luxembourg</cx:pt>
          <cx:pt idx="104">Malta</cx:pt>
          <cx:pt idx="105">Netherlands</cx:pt>
          <cx:pt idx="106">Norway</cx:pt>
          <cx:pt idx="107">Portugal</cx:pt>
          <cx:pt idx="108">Spain</cx:pt>
          <cx:pt idx="109">Sweden</cx:pt>
          <cx:pt idx="110">Switzerland</cx:pt>
          <cx:pt idx="111">United Kingdom</cx:pt>
          <cx:pt idx="112">Vatican City State</cx:pt>
        </cx:lvl>
        <cx:lvl ptCount="113">
          <cx:pt idx="0">Africa</cx:pt>
          <cx:pt idx="1">Africa</cx:pt>
          <cx:pt idx="2">Africa</cx:pt>
          <cx:pt idx="3">Africa</cx:pt>
          <cx:pt idx="4">Africa</cx:pt>
          <cx:pt idx="5">Africa</cx:pt>
          <cx:pt idx="6">Africa</cx:pt>
          <cx:pt idx="7">Africa</cx:pt>
          <cx:pt idx="8">Africa</cx:pt>
          <cx:pt idx="9">Africa</cx:pt>
          <cx:pt idx="10">Africa</cx:pt>
          <cx:pt idx="11">Africa</cx:pt>
          <cx:pt idx="12">Africa</cx:pt>
          <cx:pt idx="13">Africa</cx:pt>
          <cx:pt idx="14">Africa</cx:pt>
          <cx:pt idx="15">Africa</cx:pt>
          <cx:pt idx="16">Africa</cx:pt>
          <cx:pt idx="17">Africa/Middle East</cx:pt>
          <cx:pt idx="18">Asiatic Region</cx:pt>
          <cx:pt idx="19">Asiatic Region</cx:pt>
          <cx:pt idx="20">Asiatic Region</cx:pt>
          <cx:pt idx="21">Asiatic Region</cx:pt>
          <cx:pt idx="22">Asiatic Region</cx:pt>
          <cx:pt idx="23">Asiatic Region</cx:pt>
          <cx:pt idx="24">Asiatic Region</cx:pt>
          <cx:pt idx="25">Asiatic Region</cx:pt>
          <cx:pt idx="26">Asiatic Region</cx:pt>
          <cx:pt idx="27">Asiatic Region</cx:pt>
          <cx:pt idx="28">Asiatic Region</cx:pt>
          <cx:pt idx="29">Asiatic Region</cx:pt>
          <cx:pt idx="30">Asiatic Region</cx:pt>
          <cx:pt idx="31">Asiatic Region</cx:pt>
          <cx:pt idx="32">Asiatic Region</cx:pt>
          <cx:pt idx="33">Asiatic Region</cx:pt>
          <cx:pt idx="34">Asiatic Region</cx:pt>
          <cx:pt idx="35">Asiatic Region</cx:pt>
          <cx:pt idx="36">Asiatic Region</cx:pt>
          <cx:pt idx="37">Eastern Europe</cx:pt>
          <cx:pt idx="38">Eastern Europe</cx:pt>
          <cx:pt idx="39">Eastern Europe</cx:pt>
          <cx:pt idx="40">Eastern Europe</cx:pt>
          <cx:pt idx="41">Eastern Europe</cx:pt>
          <cx:pt idx="42">Eastern Europe</cx:pt>
          <cx:pt idx="43">Eastern Europe</cx:pt>
          <cx:pt idx="44">Eastern Europe</cx:pt>
          <cx:pt idx="45">Eastern Europe</cx:pt>
          <cx:pt idx="46">Eastern Europe</cx:pt>
          <cx:pt idx="47">Eastern Europe</cx:pt>
          <cx:pt idx="48">Eastern Europe</cx:pt>
          <cx:pt idx="49">Eastern Europe</cx:pt>
          <cx:pt idx="50">Eastern Europe</cx:pt>
          <cx:pt idx="51">Eastern Europe</cx:pt>
          <cx:pt idx="52">Eastern Europe</cx:pt>
          <cx:pt idx="53">Eastern Europe</cx:pt>
          <cx:pt idx="54">Eastern Europe</cx:pt>
          <cx:pt idx="55">Eastern Europe</cx:pt>
          <cx:pt idx="56">Eastern Europe</cx:pt>
          <cx:pt idx="57">Eastern Europe</cx:pt>
          <cx:pt idx="58">Eastern Europe</cx:pt>
          <cx:pt idx="59">Eastern Europe</cx:pt>
          <cx:pt idx="60">Latin America</cx:pt>
          <cx:pt idx="61">Latin America</cx:pt>
          <cx:pt idx="62">Latin America</cx:pt>
          <cx:pt idx="63">Latin America</cx:pt>
          <cx:pt idx="64">Latin America</cx:pt>
          <cx:pt idx="65">Latin America</cx:pt>
          <cx:pt idx="66">Latin America</cx:pt>
          <cx:pt idx="67">Latin America</cx:pt>
          <cx:pt idx="68">Latin America</cx:pt>
          <cx:pt idx="69">Latin America</cx:pt>
          <cx:pt idx="70">Latin America</cx:pt>
          <cx:pt idx="71">Latin America</cx:pt>
          <cx:pt idx="72">Latin America</cx:pt>
          <cx:pt idx="73">Latin America</cx:pt>
          <cx:pt idx="74">Latin America</cx:pt>
          <cx:pt idx="75">Middle East</cx:pt>
          <cx:pt idx="76">Middle East</cx:pt>
          <cx:pt idx="77">Middle East</cx:pt>
          <cx:pt idx="78">Middle East</cx:pt>
          <cx:pt idx="79">Middle East</cx:pt>
          <cx:pt idx="80">Middle East</cx:pt>
          <cx:pt idx="81">Middle East</cx:pt>
          <cx:pt idx="82">Middle East</cx:pt>
          <cx:pt idx="83">Middle East</cx:pt>
          <cx:pt idx="84">Middle East</cx:pt>
          <cx:pt idx="85">Middle East</cx:pt>
          <cx:pt idx="86">Middle East</cx:pt>
          <cx:pt idx="87">Middle East</cx:pt>
          <cx:pt idx="88">Northern America</cx:pt>
          <cx:pt idx="89">Northern America</cx:pt>
          <cx:pt idx="90">Pacific Region</cx:pt>
          <cx:pt idx="91">Pacific Region</cx:pt>
          <cx:pt idx="92">Western Europe</cx:pt>
          <cx:pt idx="93">Western Europe</cx:pt>
          <cx:pt idx="94">Western Europe</cx:pt>
          <cx:pt idx="95">Western Europe</cx:pt>
          <cx:pt idx="96">Western Europe</cx:pt>
          <cx:pt idx="97">Western Europe</cx:pt>
          <cx:pt idx="98">Western Europe</cx:pt>
          <cx:pt idx="99">Western Europe</cx:pt>
          <cx:pt idx="100">Western Europe</cx:pt>
          <cx:pt idx="101">Western Europe</cx:pt>
          <cx:pt idx="102">Western Europe</cx:pt>
          <cx:pt idx="103">Western Europe</cx:pt>
          <cx:pt idx="104">Western Europe</cx:pt>
          <cx:pt idx="105">Western Europe</cx:pt>
          <cx:pt idx="106">Western Europe</cx:pt>
          <cx:pt idx="107">Western Europe</cx:pt>
          <cx:pt idx="108">Western Europe</cx:pt>
          <cx:pt idx="109">Western Europe</cx:pt>
          <cx:pt idx="110">Western Europe</cx:pt>
          <cx:pt idx="111">Western Europe</cx:pt>
          <cx:pt idx="112">Western Europe</cx:pt>
        </cx:lvl>
      </cx:strDim>
      <cx:numDim type="size">
        <cx:f>'[Scimago2022.xlsx]Tracking and Analysis 5'!$C$2:$C$114</cx:f>
        <cx:lvl ptCount="113" formatCode="General">
          <cx:pt idx="0">43</cx:pt>
          <cx:pt idx="1">817</cx:pt>
          <cx:pt idx="2">342</cx:pt>
          <cx:pt idx="3">613</cx:pt>
          <cx:pt idx="4">218</cx:pt>
          <cx:pt idx="5">148</cx:pt>
          <cx:pt idx="6">1</cx:pt>
          <cx:pt idx="7">649</cx:pt>
          <cx:pt idx="8">278</cx:pt>
          <cx:pt idx="9">7197</cx:pt>
          <cx:pt idx="10">75</cx:pt>
          <cx:pt idx="11">124</cx:pt>
          <cx:pt idx="12">12450</cx:pt>
          <cx:pt idx="13">21</cx:pt>
          <cx:pt idx="14">506</cx:pt>
          <cx:pt idx="15">703</cx:pt>
          <cx:pt idx="16">100</cx:pt>
          <cx:pt idx="17">33821</cx:pt>
          <cx:pt idx="18">1626</cx:pt>
          <cx:pt idx="19">52</cx:pt>
          <cx:pt idx="20">377770</cx:pt>
          <cx:pt idx="21">8014</cx:pt>
          <cx:pt idx="22">128914</cx:pt>
          <cx:pt idx="23">20511</cx:pt>
          <cx:pt idx="24">88411</cx:pt>
          <cx:pt idx="25">1109</cx:pt>
          <cx:pt idx="26">21547</cx:pt>
          <cx:pt idx="27">19</cx:pt>
          <cx:pt idx="28">1690</cx:pt>
          <cx:pt idx="29">22207</cx:pt>
          <cx:pt idx="30">2512</cx:pt>
          <cx:pt idx="31">38549</cx:pt>
          <cx:pt idx="32">70523</cx:pt>
          <cx:pt idx="33">760</cx:pt>
          <cx:pt idx="34">15222</cx:pt>
          <cx:pt idx="35">13064</cx:pt>
          <cx:pt idx="36">300</cx:pt>
          <cx:pt idx="37">30</cx:pt>
          <cx:pt idx="38">385</cx:pt>
          <cx:pt idx="39">1069</cx:pt>
          <cx:pt idx="40">2019</cx:pt>
          <cx:pt idx="41">2478</cx:pt>
          <cx:pt idx="42">14998</cx:pt>
          <cx:pt idx="43">15941</cx:pt>
          <cx:pt idx="44">21583</cx:pt>
          <cx:pt idx="45">2670</cx:pt>
          <cx:pt idx="46">1644</cx:pt>
          <cx:pt idx="47">13140</cx:pt>
          <cx:pt idx="48">721</cx:pt>
          <cx:pt idx="49">7586</cx:pt>
          <cx:pt idx="50">3688</cx:pt>
          <cx:pt idx="51">1097</cx:pt>
          <cx:pt idx="52">1268</cx:pt>
          <cx:pt idx="53">67545</cx:pt>
          <cx:pt idx="54">28980</cx:pt>
          <cx:pt idx="55">95867</cx:pt>
          <cx:pt idx="56">14801</cx:pt>
          <cx:pt idx="57">10253</cx:pt>
          <cx:pt idx="58">7907</cx:pt>
          <cx:pt idx="59">17024</cx:pt>
          <cx:pt idx="60">7847</cx:pt>
          <cx:pt idx="61">131</cx:pt>
          <cx:pt idx="62">89657</cx:pt>
          <cx:pt idx="63">14605</cx:pt>
          <cx:pt idx="64">13379</cx:pt>
          <cx:pt idx="65">1117</cx:pt>
          <cx:pt idx="66">4901</cx:pt>
          <cx:pt idx="67">734</cx:pt>
          <cx:pt idx="68">169</cx:pt>
          <cx:pt idx="69">16072</cx:pt>
          <cx:pt idx="70">2627</cx:pt>
          <cx:pt idx="71">167</cx:pt>
          <cx:pt idx="72">73</cx:pt>
          <cx:pt idx="73">131</cx:pt>
          <cx:pt idx="74">4569</cx:pt>
          <cx:pt idx="75">590</cx:pt>
          <cx:pt idx="76">44124</cx:pt>
          <cx:pt idx="77">3310</cx:pt>
          <cx:pt idx="78">1473</cx:pt>
          <cx:pt idx="79">2175</cx:pt>
          <cx:pt idx="80">973</cx:pt>
          <cx:pt idx="81">423</cx:pt>
          <cx:pt idx="82">764</cx:pt>
          <cx:pt idx="83">354</cx:pt>
          <cx:pt idx="84">270</cx:pt>
          <cx:pt idx="85">7424</cx:pt>
          <cx:pt idx="86">39394</cx:pt>
          <cx:pt idx="87">18565</cx:pt>
          <cx:pt idx="88">44930</cx:pt>
          <cx:pt idx="89">2719073</cx:pt>
          <cx:pt idx="90">32711</cx:pt>
          <cx:pt idx="91">41604</cx:pt>
          <cx:pt idx="92">28075</cx:pt>
          <cx:pt idx="93">14013</cx:pt>
          <cx:pt idx="94">1070</cx:pt>
          <cx:pt idx="95">9354</cx:pt>
          <cx:pt idx="96">3242</cx:pt>
          <cx:pt idx="97">125997</cx:pt>
          <cx:pt idx="98">584533</cx:pt>
          <cx:pt idx="99">21890</cx:pt>
          <cx:pt idx="100">566</cx:pt>
          <cx:pt idx="101">43379</cx:pt>
          <cx:pt idx="102">94362</cx:pt>
          <cx:pt idx="103">132</cx:pt>
          <cx:pt idx="104">158</cx:pt>
          <cx:pt idx="105">923668</cx:pt>
          <cx:pt idx="106">3884</cx:pt>
          <cx:pt idx="107">9853</cx:pt>
          <cx:pt idx="108">78341</cx:pt>
          <cx:pt idx="109">6711</cx:pt>
          <cx:pt idx="110">792280</cx:pt>
          <cx:pt idx="111">2354639</cx:pt>
          <cx:pt idx="112">15</cx:pt>
        </cx:lvl>
      </cx:numDim>
    </cx:data>
  </cx:chartData>
  <cx:chart>
    <cx:title pos="t" align="ctr" overlay="0">
      <cx:tx>
        <cx:txData>
          <cx:v>Publication per Region per country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Publication per Region per country</a:t>
          </a:r>
        </a:p>
      </cx:txPr>
    </cx:title>
    <cx:plotArea>
      <cx:plotAreaRegion>
        <cx:series layoutId="treemap" uniqueId="{1ADB1473-7101-4159-97D8-E24ACD5704A3}">
          <cx:tx>
            <cx:txData>
              <cx:f>'[Scimago2022.xlsx]Tracking and Analysis 5'!$C$1</cx:f>
              <cx:v>Sum of Total_Docs_3years</cx:v>
            </cx:txData>
          </cx:tx>
          <cx:dataLabels pos="inEnd">
            <cx:visibility seriesName="0" categoryName="1" value="0"/>
          </cx:dataLabels>
          <cx:dataId val="0"/>
          <cx:layoutPr>
            <cx:parentLabelLayout val="none"/>
          </cx:layoutPr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2830</TotalTime>
  <Pages>5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omotunde</dc:creator>
  <cp:keywords/>
  <dc:description/>
  <cp:lastModifiedBy>Habeeb Omotunde</cp:lastModifiedBy>
  <cp:revision>184</cp:revision>
  <dcterms:created xsi:type="dcterms:W3CDTF">2024-02-06T14:30:00Z</dcterms:created>
  <dcterms:modified xsi:type="dcterms:W3CDTF">2024-02-10T08:47:00Z</dcterms:modified>
</cp:coreProperties>
</file>