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TABLE—LOCAL GALAMSEY EXPOSURE (AREA WITHIN 5 KM) AND FARMER OUTCOMES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OLS estimates with district fixed effects and community-clustered standard errors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814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814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51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51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Galamsey area within 5 km (ha)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0.019***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0.011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−0.014**</w:t>
            </w:r>
          </w:p>
        </w:tc>
      </w:tr>
      <w:tr>
        <w:tc>
          <w:tcPr>
            <w:tcW w:type="dxa" w:w="351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(0.007)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(0.007)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(0.006)</w:t>
            </w:r>
          </w:p>
        </w:tc>
      </w:tr>
      <w:tr>
        <w:tc>
          <w:tcPr>
            <w:tcW w:type="dxa" w:w="351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51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51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51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0.176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0.031</w:t>
            </w:r>
          </w:p>
        </w:tc>
        <w:tc>
          <w:tcPr>
            <w:tcW w:type="dxa" w:w="1814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0.052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i/>
          <w:sz w:val="18"/>
        </w:rPr>
        <w:t xml:space="preserve">Notes: </w:t>
      </w:r>
      <w:r>
        <w:rPr>
          <w:rFonts w:ascii="Times New Roman" w:hAnsi="Times New Roman"/>
          <w:sz w:val="18"/>
        </w:rPr>
        <w:t>OLS estimates. Community-clustered robust standard errors in parentheses. Controls include age, gender, education, number of plots, land ownership, and farming experience. District fixed effects included. * p &lt; 0.10, ** p &lt; 0.05, *** p &lt; 0.01.</w:t>
      </w:r>
    </w:p>
    <w:p>
      <w:pPr>
        <w:spacing w:before="80"/>
      </w:pPr>
      <w:r>
        <w:rPr>
          <w:rFonts w:ascii="Times New Roman" w:hAnsi="Times New Roman"/>
          <w:sz w:val="18"/>
        </w:rPr>
        <w:t>Column (1): Economic impact (cashew income share, 1–4). Column (2): Risk perception (environmental worry, 0–10). Column (3): Long-term / carbon (sustainability participation, 0/1).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