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80"/>
        <w:jc w:val="center"/>
      </w:pPr>
      <w:r>
        <w:rPr>
          <w:rFonts w:ascii="Times New Roman" w:hAnsi="Times New Roman"/>
          <w:b/>
          <w:i w:val="0"/>
          <w:sz w:val="24"/>
        </w:rPr>
        <w:t>REGRESSION RESULTS — GALAMSEY EXPOSURE AND FARMER OUTCOMES</w:t>
      </w:r>
    </w:p>
    <w:p>
      <w:pPr>
        <w:spacing w:before="0" w:after="160"/>
        <w:jc w:val="center"/>
      </w:pPr>
      <w:r>
        <w:rPr>
          <w:rFonts w:ascii="Times New Roman" w:hAnsi="Times New Roman"/>
          <w:b w:val="0"/>
          <w:i/>
          <w:sz w:val="20"/>
        </w:rPr>
        <w:t>Bono / Bono East microdata linked to Fine-Tuned model predictions (P(Mining) ≥ 90%, sieve &lt; 10 px).</w:t>
      </w:r>
    </w:p>
    <w:p>
      <w:pPr>
        <w:spacing w:before="0" w:after="200"/>
        <w:jc w:val="left"/>
      </w:pPr>
      <w:r>
        <w:rPr>
          <w:rFonts w:ascii="Times New Roman" w:hAnsi="Times New Roman"/>
          <w:b w:val="0"/>
          <w:i w:val="0"/>
          <w:sz w:val="20"/>
        </w:rPr>
        <w:t>Lesehilfe für das gesamte Dokument: Jede Tabelle zeigt drei Regressionen nebeneinander (drei abhängige Variablen). Darunter folgt jeweils eine ausführliche Erklärung der Methodik und eine Interpretation der Koeffizienten in Alltagssprache. Sternchen markieren statistische Signifikanz (* p&lt;0,10; ** p&lt;0,05; *** p&lt;0,01). Wichtig: Signifikanz heißt „unwahrscheinlich rein zufällig“, nicht automatisch „Ursache bewiesen“.</w:t>
      </w:r>
    </w:p>
    <w:p>
      <w:pPr>
        <w:spacing w:before="120" w:after="40"/>
        <w:jc w:val="left"/>
      </w:pPr>
      <w:r>
        <w:rPr>
          <w:rFonts w:ascii="Times New Roman" w:hAnsi="Times New Roman"/>
          <w:b/>
          <w:i w:val="0"/>
          <w:sz w:val="24"/>
        </w:rPr>
        <w:t>A. Area-based exposure (Flächen-Exposition)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1—GALAMSEY AREA WITHIN 5 KM (HA), WITH DISTRICT FIXED EFFECTS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Galamsey area within 5 km (ha)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0.019***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0.011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−0.014**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(0.007)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(0.007)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(0.006)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0.176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0.031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0.052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„Galamsey-Fläche im 5-km-Umkreis (Hektar)“. Das ist die lokale Mining-Fläche im Kreis von 5 km um den Farmer, gemessen in Hektar (aus dem Modellraster nach 90 %-Schwelle und Sieve-Filter). Steigt der Wert um 1, gibt es im Umkreis 1 ha mehr vorhergesagte Mining-Fläche.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„Yes“. Effekte werden innerhalb der Distrikte geschätzt.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„Galamsey-Fläche im 5-km-Umkreis (Hektar)“ hat einen hochsignifikant (p &lt; 0,01) positiven Einfluss auf den Cashew-Einkommensanteil (Koeffizient +0.019). Höhere Werte der Erklärungsvariable hängen mit höheren Werten von den Cashew-Einkommensanteil zusammen. Das ist eine statistische Assoziation, keine bewiesene Kausalität.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Der geschätzte Effekt von „Galamsey-Fläche im 5-km-Umkreis (Hektar)“ ist nicht signifikant (p ≥ 0,10) (Koeffizient +0.011). Man kann also nicht behaupten, dass die Exposition die Umweltbesorgnis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„Galamsey-Fläche im 5-km-Umkreis (Hektar)“ hat einen signifikant (p &lt; 0,05) negativen Einfluss auf die Teilnahme an Nachhaltigkeits-/Carbon-Aktivitäten (Koeffizient -0.014). Höhere Werte der Erklärungsvariable hängen mit niedrigeren Werten von die Teilnahme an Nachhaltigkeits-/Carbon-Aktivitäten zusammen. Das ist eine statistische Assoziation, keine bewiesene Kausalität.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Bevorzugte Flächenspezifikation (lokale Exposition) mit Distrikt-FE.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2—GALAMSEY AREA WITHIN 5 KM (HA), WITHOUT DISTRICT FIXED EFFECTS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Galamsey area within 5 km (ha)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0.019*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0.012***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−0.006**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(0.011)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(0.004)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0.084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0.014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0.024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„Galamsey-Fläche im 5-km-Umkreis (Hektar)“. Wie in Tabelle 1, aber ohne Distrikt-FE: Der Vergleich darf auch Unterschiede zwischen Distrikten/Communities mitnutzen (Between-Vergleich).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„No“. Effekte dürfen auch Unterschiede zwischen Distrikten/Communities nutzen.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„Galamsey-Fläche im 5-km-Umkreis (Hektar)“ hat einen schwach signifikant / tendenziell (p &lt; 0,10) positiven Einfluss auf den Cashew-Einkommensanteil (Koeffizient +0.019). Höhere Werte der Erklärungsvariable hängen mit höheren Werten von den Cashew-Einkommensanteil zusammen. Das ist eine statistische Assoziation, keine bewiesene Kausalität.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„Galamsey-Fläche im 5-km-Umkreis (Hektar)“ hat einen hochsignifikant (p &lt; 0,01) positiven Einfluss auf die Umweltbesorgnis (Koeffizient +0.012). Höhere Werte der Erklärungsvariable hängen mit höheren Werten von die Umweltbesorgnis zusammen. Das ist eine statistische Assoziation, keine bewiesene Kausalität.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„Galamsey-Fläche im 5-km-Umkreis (Hektar)“ hat einen signifikant (p &lt; 0,05) negativen Einfluss auf die Teilnahme an Nachhaltigkeits-/Carbon-Aktivitäten (Koeffizient -0.006). Höhere Werte der Erklärungsvariable hängen mit niedrigeren Werten von die Teilnahme an Nachhaltigkeits-/Carbon-Aktivitäten zusammen. Das ist eine statistische Assoziation, keine bewiesene Kausalität.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Robustheit / Between-Community-Vergleich ohne Distrikt-FE.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3—GALAMSEY AREA WITHIN 20 KM (HA), WITH DISTRICT FIXED EFFECTS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Galamsey area within 20 km (ha)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0.004**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−0.000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(0.003)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(0.002)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(0.002)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0.166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0.036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0.036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„Galamsey-Fläche im 20-km-Umkreis (Hektar)“. Breiterer Puffer als in Tabelle 1: Es zählt die Mining-Fläche im 20-km-Umkreis. Damit wird eher eine regionale als eine sehr lokale Exposition gemessen.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„Yes“. Effekte werden innerhalb der Distrikte geschätzt.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Der geschätzte Effekt von „Galamsey-Fläche im 20-km-Umkreis (Hektar)“ ist nicht signifikant (p ≥ 0,10) (Koeffizient +0.000). Man kann also nicht behaupten, dass die Exposition den Cashew-Einkommensanteil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„Galamsey-Fläche im 20-km-Umkreis (Hektar)“ hat einen signifikant (p &lt; 0,05) positiven Einfluss auf die Umweltbesorgnis (Koeffizient +0.004). Höhere Werte der Erklärungsvariable hängen mit höheren Werten von die Umweltbesorgnis zusammen. Das ist eine statistische Assoziation, keine bewiesene Kausalität.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Der geschätzte Effekt von „Galamsey-Fläche im 20-km-Umkreis (Hektar)“ ist nicht signifikant (p ≥ 0,10) (Koeffizient -0.000). Man kann also nicht behaupten, dass die Exposition die Teilnahme an Nachhaltigkeits-/Carbon-Aktivitäten klar verändert.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Breitere räumliche Exposition mit Distrikt-FE.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4—GALAMSEY AREA WITHIN 20 KM (HA), WITHOUT DISTRICT FIXED EFFECTS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Galamsey area within 20 km (ha)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0.003*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0.002*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−0.000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(0.002)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(0.001)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(0.000)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0.089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0.016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0.018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„Galamsey-Fläche im 20-km-Umkreis (Hektar)“. Wie Tabelle 3, aber ohne Distrikt-FE (Between-Vergleich).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„No“. Effekte dürfen auch Unterschiede zwischen Distrikten/Communities nutzen.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„Galamsey-Fläche im 20-km-Umkreis (Hektar)“ hat einen schwach signifikant / tendenziell (p &lt; 0,10) positiven Einfluss auf den Cashew-Einkommensanteil (Koeffizient +0.003). Höhere Werte der Erklärungsvariable hängen mit höheren Werten von den Cashew-Einkommensanteil zusammen. Das ist eine statistische Assoziation, keine bewiesene Kausalität.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„Galamsey-Fläche im 20-km-Umkreis (Hektar)“ hat einen schwach signifikant / tendenziell (p &lt; 0,10) positiven Einfluss auf die Umweltbesorgnis (Koeffizient +0.002). Höhere Werte der Erklärungsvariable hängen mit höheren Werten von die Umweltbesorgnis zusammen. Das ist eine statistische Assoziation, keine bewiesene Kausalität.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Der geschätzte Effekt von „Galamsey-Fläche im 20-km-Umkreis (Hektar)“ ist nicht signifikant (p ≥ 0,10) (Koeffizient -0.000). Man kann also nicht behaupten, dass die Exposition die Teilnahme an Nachhaltigkeits-/Carbon-Aktivitäten klar verändert.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Breitere Exposition ohne Distrikt-FE.</w:t>
      </w:r>
    </w:p>
    <w:p>
      <w:pPr>
        <w:spacing w:before="240" w:after="40"/>
        <w:jc w:val="left"/>
      </w:pPr>
      <w:r>
        <w:rPr>
          <w:rFonts w:ascii="Times New Roman" w:hAnsi="Times New Roman"/>
          <w:b/>
          <w:i w:val="0"/>
          <w:sz w:val="24"/>
        </w:rPr>
        <w:t>B. Distance-based exposure (Distanz-Exposition)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5—LOG DISTANCE TO NEAREST MINING PIXEL, WITH DISTRICT FIXED EFFECTS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log(Distance to nearest mining pixel, km)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0.004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−0.064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0.072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(0.118)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(0.168)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(0.055)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0.166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0.029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0.040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„logarithmierte Distanz zum nächsten Mining-Pixel (km)“. Distanz zum nächstgelegenen Mining-Pixel nach 90 %+Sieve, logarithmiert. Ein höherer Wert bedeutet: Der Farmer ist weiter von Mining entfernt. Die Log-Transformation dämpft extreme Distanzen. Achtung bei der Richtung: Ein positiver Koeffizient heißt „weiter weg hängt mit höherem Y zusammen“; ein negativer heißt „weiter weg hängt mit niedrigerem Y zusammen“ (bzw. näher an Mining hängt dann mit höherem Y zusammen).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„Yes“. Effekte werden innerhalb der Distrikte geschätzt.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Der geschätzte Effekt von „logarithmierte Distanz zum nächsten Mining-Pixel (km)“ ist nicht signifikant (p ≥ 0,10) (Koeffizient +0.004). Man kann also nicht behaupten, dass die Exposition den Cashew-Einkommensanteil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Der geschätzte Effekt von „logarithmierte Distanz zum nächsten Mining-Pixel (km)“ ist nicht signifikant (p ≥ 0,10) (Koeffizient -0.064). Man kann also nicht behaupten, dass die Exposition die Umweltbesorgnis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Der geschätzte Effekt von „logarithmierte Distanz zum nächsten Mining-Pixel (km)“ ist nicht signifikant (p ≥ 0,10) (Koeffizient +0.072). Man kann also nicht behaupten, dass die Exposition die Teilnahme an Nachhaltigkeits-/Carbon-Aktivitäten klar verändert.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Baseline-Distanzdefinition mit Distrikt-FE.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6—LOG DISTANCE TO NEAREST MINING PIXEL, WITHOUT DISTRICT FIXED EFFECTS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log(Distance to nearest mining pixel, km)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−0.192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−0.031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0.053**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(0.138)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(0.050)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(0.025)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0.088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0.022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„logarithmierte Distanz zum nächsten Mining-Pixel (km)“. Wie Tabelle 5, aber ohne Distrikt-FE.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„No“. Effekte dürfen auch Unterschiede zwischen Distrikten/Communities nutzen.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Der geschätzte Effekt von „logarithmierte Distanz zum nächsten Mining-Pixel (km)“ ist nicht signifikant (p ≥ 0,10) (Koeffizient -0.192). Man kann also nicht behaupten, dass die Exposition den Cashew-Einkommensanteil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Der geschätzte Effekt von „logarithmierte Distanz zum nächsten Mining-Pixel (km)“ ist nicht signifikant (p ≥ 0,10) (Koeffizient -0.031). Man kann also nicht behaupten, dass die Exposition die Umweltbesorgnis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„logarithmierte Distanz zum nächsten Mining-Pixel (km)“ hat einen signifikant (p &lt; 0,05) positiven Einfluss auf die Teilnahme an Nachhaltigkeits-/Carbon-Aktivitäten (Koeffizient +0.053). Höhere Werte der Erklärungsvariable hängen mit höheren Werten von die Teilnahme an Nachhaltigkeits-/Carbon-Aktivitäten zusammen. Das ist eine statistische Assoziation, keine bewiesene Kausalität.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Baseline-Distanz ohne Distrikt-FE.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7—LOG DISTANCE TO NEAREST COMPONENT ≥ 50 PIXELS (0.5 HA), WITH DISTRICT 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log(Distance to nearest ≥50-px component, km)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0.046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−0.058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0.006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(0.091)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(0.118)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(0.034)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0.167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0.029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0.035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„logarithmierte Distanz zur nächsten Mining-Fläche ≥ 0,5 ha“. Zweite Distanzdefinition: Es zählen nur zusammenhängende Mining-Komponenten mit mindestens 50 Pixeln (≈ 0,5 ha). Kleine Restflecken gelten nicht als „nächste Mine“. Wieder: höherer Wert = weiter entfernt.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„Yes“. Effekte werden innerhalb der Distrikte geschätzt.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Der geschätzte Effekt von „logarithmierte Distanz zur nächsten Mining-Fläche ≥ 0,5 ha“ ist nicht signifikant (p ≥ 0,10) (Koeffizient +0.046). Man kann also nicht behaupten, dass die Exposition den Cashew-Einkommensanteil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Der geschätzte Effekt von „logarithmierte Distanz zur nächsten Mining-Fläche ≥ 0,5 ha“ ist nicht signifikant (p ≥ 0,10) (Koeffizient -0.058). Man kann also nicht behaupten, dass die Exposition die Umweltbesorgnis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Der geschätzte Effekt von „logarithmierte Distanz zur nächsten Mining-Fläche ≥ 0,5 ha“ ist nicht signifikant (p ≥ 0,10) (Koeffizient +0.006). Man kann also nicht behaupten, dass die Exposition die Teilnahme an Nachhaltigkeits-/Carbon-Aktivitäten klar verändert.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Strengere Distanzdefinition (Mindestgröße) mit Distrikt-FE.</w:t>
      </w:r>
    </w:p>
    <w:p>
      <w:pPr>
        <w:spacing w:before="280" w:after="80"/>
        <w:jc w:val="center"/>
      </w:pPr>
      <w:r>
        <w:rPr>
          <w:rFonts w:ascii="Times New Roman" w:hAnsi="Times New Roman"/>
          <w:b/>
          <w:i w:val="0"/>
          <w:sz w:val="22"/>
        </w:rPr>
        <w:t>TABLE 8—LOG DISTANCE TO NEAREST COMPONENT ≥ 50 PIXELS (0.5 HA), WITHOUT DISTRICT FE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3685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0"/>
              </w:rPr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(1)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(2)</w:t>
            </w:r>
          </w:p>
        </w:tc>
        <w:tc>
          <w:tcPr>
            <w:tcW w:type="dxa" w:w="1757"/>
            <w:tcBorders>
              <top w:val="double" w:sz="18" w:space="0" w:color="000000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sz w:val="22"/>
              </w:rPr>
              <w:t>(3)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Dependent variable: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Cashew income share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Environmental worry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12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/>
                <w:sz w:val="20"/>
              </w:rPr>
              <w:t>Sust. participation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log(Distance to nearest ≥50-px component, km)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−0.120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−0.029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0.031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(0.105)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(0.044)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single" w:sz="6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(0.021)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Controls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Yes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District FE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No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N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410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405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nil" w:sz="0" w:space="0" w:color="auto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409</w:t>
            </w:r>
          </w:p>
        </w:tc>
      </w:tr>
      <w:tr>
        <w:tc>
          <w:tcPr>
            <w:tcW w:type="dxa" w:w="3685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R²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0.078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0.006</w:t>
            </w:r>
          </w:p>
        </w:tc>
        <w:tc>
          <w:tcPr>
            <w:tcW w:type="dxa" w:w="1757"/>
            <w:tcBorders>
              <top w:val="nil" w:sz="0" w:space="0" w:color="auto"/>
              <left w:val="nil" w:sz="0" w:space="0" w:color="auto"/>
              <bottom w:val="double" w:sz="18" w:space="0" w:color="000000"/>
              <right w:val="nil" w:sz="0" w:space="0" w:color="auto"/>
            </w:tcBorders>
          </w:tcPr>
          <w:p>
            <w:pPr>
              <w:spacing w:before="0" w:after="0" w:line="252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sz w:val="22"/>
              </w:rPr>
              <w:t>0.019</w:t>
            </w:r>
          </w:p>
        </w:tc>
      </w:tr>
    </w:tbl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Erklärung zu dieser Tabelle</w:t>
      </w:r>
    </w:p>
    <w:p>
      <w:pPr>
        <w:spacing w:before="80" w:after="40"/>
      </w:pPr>
      <w:r>
        <w:rPr>
          <w:rFonts w:ascii="Times New Roman" w:hAnsi="Times New Roman"/>
          <w:b/>
          <w:sz w:val="20"/>
        </w:rPr>
        <w:t xml:space="preserve">Erklärungsvariable (X): </w:t>
      </w:r>
      <w:r>
        <w:rPr>
          <w:rFonts w:ascii="Times New Roman" w:hAnsi="Times New Roman"/>
          <w:sz w:val="20"/>
        </w:rPr>
        <w:t>„logarithmierte Distanz zur nächsten Mining-Fläche ≥ 0,5 ha“. Wie Tabelle 7, aber ohne Distrikt-FE.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Abhängige Variablen (Y): </w:t>
      </w:r>
      <w:r>
        <w:rPr>
          <w:rFonts w:ascii="Times New Roman" w:hAnsi="Times New Roman"/>
          <w:sz w:val="20"/>
        </w:rPr>
        <w:t>Spalte (1) Anteil des Cashew-Einkommens am Gesamteinkommen (Skala 1–4); Spalte (2) selbstberichtete Umweltbesorgnis (0–10); Spalte (3) Teilnahme an Nachhaltigkeitsaktivitäten (0 = nein, 1 = ja).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Was ist das Modell? </w:t>
      </w:r>
      <w:r>
        <w:rPr>
          <w:rFonts w:ascii="Times New Roman" w:hAnsi="Times New Roman"/>
          <w:sz w:val="20"/>
        </w:rPr>
        <w:t>Wir schätzen eine lineare Regression (OLS). Vereinfacht: Wir fragen, wie stark sich eine abhängige Variable Y (z. B. Umweltbesorgnis) verändert, wenn die Erklärungsvariable X (Galamsey-Exposition) um eine Einheit steigt – unter Kontrolle weiterer Faktoren.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Controls (Kontrollvariablen): </w:t>
      </w:r>
      <w:r>
        <w:rPr>
          <w:rFonts w:ascii="Times New Roman" w:hAnsi="Times New Roman"/>
          <w:sz w:val="20"/>
        </w:rPr>
        <w:t>Zusätzliche Farmer-Merkmale, die mitgenommen werden, damit der Galamsey-Effekt nicht mit Alter, Geschlecht, Bildung, Betriebsgröße (Anzahl Plots), Landbesitz oder landwirtschaftlicher Erfahrung verwechselt wird. „Yes“ heißt: Diese Variablen sind im Modell enthalten.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(Fixed Effects): </w:t>
      </w:r>
      <w:r>
        <w:rPr>
          <w:rFonts w:ascii="Times New Roman" w:hAnsi="Times New Roman"/>
          <w:sz w:val="20"/>
        </w:rPr>
        <w:t>Distrikt-Dummyvariablen. Sie „ziehen“ alle Unterschiede heraus, die zwischen Distrikten konstant sind (z. B. Infrastruktur, Märkte, Kultur). Der Galamsey-Effekt wird dann nur noch aus Unterschieden innerhalb desselben Distrikts geschätzt. „Yes“ = mit Distrikt-FE; „No“ = ohne (Vergleich auch zwischen Distrikten/Communities).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N: </w:t>
      </w:r>
      <w:r>
        <w:rPr>
          <w:rFonts w:ascii="Times New Roman" w:hAnsi="Times New Roman"/>
          <w:sz w:val="20"/>
        </w:rPr>
        <w:t>Anzahl der Farmer-Beobachtungen in dieser Schätzung (nach Ausschluss fehlender Werte).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R²: </w:t>
      </w:r>
      <w:r>
        <w:rPr>
          <w:rFonts w:ascii="Times New Roman" w:hAnsi="Times New Roman"/>
          <w:sz w:val="20"/>
        </w:rPr>
        <w:t>Anteil der Streuung der abhängigen Variable, den das Modell erklärt (0–1). 0,176 heißt z. B.: rund 17,6 % der Varianz werden erklärt. Ein niedriges R² ist bei Individualdaten häufig und macht den Koeffizienten nicht automatisch ungültig.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Zahlen in Klammern: </w:t>
      </w:r>
      <w:r>
        <w:rPr>
          <w:rFonts w:ascii="Times New Roman" w:hAnsi="Times New Roman"/>
          <w:sz w:val="20"/>
        </w:rPr>
        <w:t>Standardfehler (Unsicherheit des Koeffizienten), hier community-geclustert: Fehler dürfen innerhalb eines Dorfes/Community korreliert sein. Sternchen: * p&lt;0,10, ** p&lt;0,05, *** p&lt;0,01.</w:t>
      </w:r>
    </w:p>
    <w:p>
      <w:pPr>
        <w:spacing w:before="60" w:after="40"/>
      </w:pPr>
      <w:r>
        <w:rPr>
          <w:rFonts w:ascii="Times New Roman" w:hAnsi="Times New Roman"/>
          <w:b/>
          <w:sz w:val="20"/>
        </w:rPr>
        <w:t xml:space="preserve">District FE in dieser Tabelle: </w:t>
      </w:r>
      <w:r>
        <w:rPr>
          <w:rFonts w:ascii="Times New Roman" w:hAnsi="Times New Roman"/>
          <w:sz w:val="20"/>
        </w:rPr>
        <w:t>Hier steht „No“. Effekte dürfen auch Unterschiede zwischen Distrikten/Communities nutzen.</w:t>
      </w:r>
    </w:p>
    <w:p>
      <w:pPr>
        <w:spacing w:before="160" w:after="40"/>
        <w:jc w:val="left"/>
      </w:pPr>
      <w:r>
        <w:rPr>
          <w:rFonts w:ascii="Times New Roman" w:hAnsi="Times New Roman"/>
          <w:b/>
          <w:i w:val="0"/>
          <w:sz w:val="20"/>
        </w:rPr>
        <w:t>Interpretation der Ergebnisse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Cashew-Einkommensanteil (Spalte 1): Der geschätzte Effekt von „logarithmierte Distanz zur nächsten Mining-Fläche ≥ 0,5 ha“ ist nicht signifikant (p ≥ 0,10) (Koeffizient -0.120). Man kann also nicht behaupten, dass die Exposition den Cashew-Einkommensanteil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Umweltbesorgnis (Spalte 2): Der geschätzte Effekt von „logarithmierte Distanz zur nächsten Mining-Fläche ≥ 0,5 ha“ ist nicht signifikant (p ≥ 0,10) (Koeffizient -0.029). Man kann also nicht behaupten, dass die Exposition die Umweltbesorgnis klar verändert.</w:t>
      </w:r>
    </w:p>
    <w:p>
      <w:pPr>
        <w:spacing w:before="20" w:after="40"/>
        <w:jc w:val="left"/>
      </w:pPr>
      <w:r>
        <w:rPr>
          <w:rFonts w:ascii="Times New Roman" w:hAnsi="Times New Roman"/>
          <w:b w:val="0"/>
          <w:i w:val="0"/>
          <w:sz w:val="20"/>
        </w:rPr>
        <w:t>• Nachhaltigkeits-/Carbon-Teilnahme (Spalte 3): Der geschätzte Effekt von „logarithmierte Distanz zur nächsten Mining-Fläche ≥ 0,5 ha“ ist nicht signifikant (p ≥ 0,10) (Koeffizient +0.031). Man kann also nicht behaupten, dass die Exposition die Teilnahme an Nachhaltigkeits-/Carbon-Aktivitäten klar verändert.</w:t>
      </w:r>
    </w:p>
    <w:p>
      <w:pPr>
        <w:spacing w:before="80" w:after="160"/>
        <w:jc w:val="left"/>
      </w:pPr>
      <w:r>
        <w:rPr>
          <w:rFonts w:ascii="Times New Roman" w:hAnsi="Times New Roman"/>
          <w:b w:val="0"/>
          <w:i/>
          <w:sz w:val="18"/>
        </w:rPr>
        <w:t>Kurznotiz: Strengere Distanzdefinition ohne Distrikt-FE.</w:t>
      </w:r>
    </w:p>
    <w:p>
      <w:pPr>
        <w:spacing w:before="200" w:after="80"/>
        <w:jc w:val="left"/>
      </w:pPr>
      <w:r>
        <w:rPr>
          <w:rFonts w:ascii="Times New Roman" w:hAnsi="Times New Roman"/>
          <w:b w:val="0"/>
          <w:i w:val="0"/>
          <w:sz w:val="18"/>
        </w:rPr>
        <w:t>Gesamt-Hinweis: Community und Distrikt sind in diesem Sample 1:1 verschachtelt (jede Community liegt in genau einem Distrikt). Deshalb sind Cluster auf Community-Ebene und Distrikt-FE eng verwandt; Spec A ist die konservativere Within-Schätzung, Spec B nutzt mehr Between-Variation. Ergebnisse vorsichtig interpretieren (nur 9 Cluster).</w:t>
      </w:r>
    </w:p>
    <w:p>
      <w:pPr>
        <w:spacing w:before="40" w:after="0"/>
        <w:jc w:val="left"/>
      </w:pPr>
      <w:r>
        <w:rPr>
          <w:rFonts w:ascii="Times New Roman" w:hAnsi="Times New Roman"/>
          <w:b w:val="0"/>
          <w:i w:val="0"/>
          <w:sz w:val="16"/>
        </w:rPr>
        <w:t>Source: reports/06–09_Econometric_Analysis*/tables/regression_results_summary.csv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 w:eastAsia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