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after="200"/>
        <w:jc w:val="center"/>
      </w:pPr>
      <w:r>
        <w:t xml:space="preserve">ACCEPTABLE USE POLICY</w:t>
      </w:r>
    </w:p>
    <w:p>
      <w:pPr>
        <w:spacing w:after="400"/>
        <w:jc w:val="center"/>
      </w:pPr>
      <w:r>
        <w:t xml:space="preserve">POL-002</w:t>
      </w:r>
    </w:p>
    <w:tbl>
      <w:tblPr>
        <w:tblW w:type="pct" w:w="100%"/>
        <w:tblBorders>
          <w:top w:val="single"/>
          <w:left w:val="single"/>
          <w:bottom w:val="single"/>
          <w:right w:val="single"/>
          <w:insideH w:val="single"/>
          <w:insideV w:val="single"/>
        </w:tblBorders>
      </w:tblPr>
      <w:tblGrid>
        <w:gridCol w:w="100"/>
        <w:gridCol w:w="100"/>
      </w:tblGrid>
      <w:tr>
        <w:tc>
          <w:tcPr>
            <w:tcW w:type="pct" w:w="30%"/>
            <w:shd w:fill="E8E8E8" w:val="clear"/>
          </w:tcPr>
          <w:p>
            <w:r>
              <w:t xml:space="preserve">Document ID</w:t>
            </w:r>
          </w:p>
        </w:tc>
        <w:tc>
          <w:tcPr>
            <w:tcW w:type="pct" w:w="70%"/>
          </w:tcPr>
          <w:p>
            <w:r>
              <w:t xml:space="preserve">POL-002</w:t>
            </w:r>
          </w:p>
        </w:tc>
      </w:tr>
      <w:tr>
        <w:tc>
          <w:tcPr>
            <w:tcW w:type="pct" w:w="30%"/>
            <w:shd w:fill="E8E8E8" w:val="clear"/>
          </w:tcPr>
          <w:p>
            <w:r>
              <w:t xml:space="preserve">Version</w:t>
            </w:r>
          </w:p>
        </w:tc>
        <w:tc>
          <w:tcPr>
            <w:tcW w:type="pct" w:w="70%"/>
          </w:tcPr>
          <w:p>
            <w:r>
              <w:t xml:space="preserve">2.4</w:t>
            </w:r>
          </w:p>
        </w:tc>
      </w:tr>
      <w:tr>
        <w:tc>
          <w:tcPr>
            <w:tcW w:type="pct" w:w="30%"/>
            <w:shd w:fill="E8E8E8" w:val="clear"/>
          </w:tcPr>
          <w:p>
            <w:r>
              <w:t xml:space="preserve">Owner</w:t>
            </w:r>
          </w:p>
        </w:tc>
        <w:tc>
          <w:tcPr>
            <w:tcW w:type="pct" w:w="70%"/>
          </w:tcPr>
          <w:p>
            <w:r>
              <w:t xml:space="preserve">Sarah Williams, Head of IT</w:t>
            </w:r>
          </w:p>
        </w:tc>
      </w:tr>
      <w:tr>
        <w:tc>
          <w:tcPr>
            <w:tcW w:type="pct" w:w="30%"/>
            <w:shd w:fill="E8E8E8" w:val="clear"/>
          </w:tcPr>
          <w:p>
            <w:r>
              <w:t xml:space="preserve">Approved By</w:t>
            </w:r>
          </w:p>
        </w:tc>
        <w:tc>
          <w:tcPr>
            <w:tcW w:type="pct" w:w="70%"/>
          </w:tcPr>
          <w:p>
            <w:r>
              <w:t xml:space="preserve">David Chen, Chief Information Security Officer</w:t>
            </w:r>
          </w:p>
        </w:tc>
      </w:tr>
      <w:tr>
        <w:tc>
          <w:tcPr>
            <w:tcW w:type="pct" w:w="30%"/>
            <w:shd w:fill="E8E8E8" w:val="clear"/>
          </w:tcPr>
          <w:p>
            <w:r>
              <w:t xml:space="preserve">Approval Date</w:t>
            </w:r>
          </w:p>
        </w:tc>
        <w:tc>
          <w:tcPr>
            <w:tcW w:type="pct" w:w="70%"/>
          </w:tcPr>
          <w:p>
            <w:r>
              <w:t xml:space="preserve">1 June 2024</w:t>
            </w:r>
          </w:p>
        </w:tc>
      </w:tr>
      <w:tr>
        <w:tc>
          <w:tcPr>
            <w:tcW w:type="pct" w:w="30%"/>
            <w:shd w:fill="E8E8E8" w:val="clear"/>
          </w:tcPr>
          <w:p>
            <w:r>
              <w:t xml:space="preserve">Next Review Date</w:t>
            </w:r>
          </w:p>
        </w:tc>
        <w:tc>
          <w:tcPr>
            <w:tcW w:type="pct" w:w="70%"/>
          </w:tcPr>
          <w:p>
            <w:r>
              <w:t xml:space="preserve">1 June 2025</w:t>
            </w:r>
          </w:p>
        </w:tc>
      </w:tr>
    </w:tbl>
    <w:p>
      <w:pPr>
        <w:spacing w:line="240" w:after="400"/>
      </w:pPr>
    </w:p>
    <w:p>
      <w:pPr>
        <w:spacing w:after="200"/>
      </w:pPr>
      <w:r>
        <w:t xml:space="preserve">TABLE OF CONTENTS</w:t>
      </w:r>
    </w:p>
    <w:p>
      <w:pPr>
        <w:spacing w:after="100"/>
      </w:pPr>
      <w:r>
        <w:t xml:space="preserve">1. Purpose</w:t>
      </w:r>
    </w:p>
    <w:p>
      <w:pPr>
        <w:spacing w:after="100"/>
      </w:pPr>
      <w:r>
        <w:t xml:space="preserve">2. Scope</w:t>
      </w:r>
    </w:p>
    <w:p>
      <w:pPr>
        <w:spacing w:after="100"/>
      </w:pPr>
      <w:r>
        <w:t xml:space="preserve">3. Internet and Email Usage</w:t>
      </w:r>
    </w:p>
    <w:p>
      <w:pPr>
        <w:spacing w:after="100"/>
      </w:pPr>
      <w:r>
        <w:t xml:space="preserve">4. Bring Your Own Device (BYOD)</w:t>
      </w:r>
    </w:p>
    <w:p>
      <w:pPr>
        <w:spacing w:after="100"/>
      </w:pPr>
      <w:r>
        <w:t xml:space="preserve">5. Social Media Guidelines</w:t>
      </w:r>
    </w:p>
    <w:p>
      <w:pPr>
        <w:spacing w:after="100"/>
      </w:pPr>
      <w:r>
        <w:t xml:space="preserve">6. Software and Licensing</w:t>
      </w:r>
    </w:p>
    <w:p>
      <w:pPr>
        <w:spacing w:after="100"/>
      </w:pPr>
      <w:r>
        <w:t xml:space="preserve">7. Monitoring and Compliance</w:t>
      </w:r>
    </w:p>
    <w:p>
      <w:pPr>
        <w:spacing w:after="400"/>
      </w:pPr>
      <w:r>
        <w:t xml:space="preserve">8. Prohibited Activities</w:t>
      </w:r>
    </w:p>
    <w:p>
      <w:r/>
    </w:p>
    <w:p>
      <w:pPr>
        <w:pStyle w:val="Heading1"/>
        <w:spacing w:after="200"/>
      </w:pPr>
      <w:r>
        <w:t xml:space="preserve">1. PURPOSE</w:t>
      </w:r>
    </w:p>
    <w:p>
      <w:pPr>
        <w:spacing w:line="240" w:after="200"/>
      </w:pPr>
      <w:r>
        <w:t xml:space="preserve">HorseInsure has invested in information technology resources to facilitate business operations and enhance employee productivity. This Acceptable Use Policy establishes guidelines for the appropriate use of company IT resources including computers, networks, email and internet access.</w:t>
      </w:r>
    </w:p>
    <w:p>
      <w:pPr>
        <w:spacing w:after="150"/>
      </w:pPr>
      <w:r>
        <w:t xml:space="preserve">The purpose of this policy is to:</w:t>
      </w:r>
    </w:p>
    <w:p>
      <w:pPr>
        <w:pStyle w:val="ListParagraph"/>
        <w:numPr>
          <w:ilvl w:val="0"/>
          <w:numId w:val="1"/>
        </w:numPr>
        <w:spacing w:after="100"/>
      </w:pPr>
      <w:r>
        <w:t xml:space="preserve">Define appropriate use of company technology resources</w:t>
      </w:r>
    </w:p>
    <w:p>
      <w:pPr>
        <w:pStyle w:val="ListParagraph"/>
        <w:numPr>
          <w:ilvl w:val="0"/>
          <w:numId w:val="1"/>
        </w:numPr>
        <w:spacing w:after="100"/>
      </w:pPr>
      <w:r>
        <w:t xml:space="preserve">Protect company data and security from unauthorised access</w:t>
      </w:r>
    </w:p>
    <w:p>
      <w:pPr>
        <w:pStyle w:val="ListParagraph"/>
        <w:numPr>
          <w:ilvl w:val="0"/>
          <w:numId w:val="1"/>
        </w:numPr>
        <w:spacing w:after="100"/>
      </w:pPr>
      <w:r>
        <w:t xml:space="preserve">Minimise legal risks and liability exposure</w:t>
      </w:r>
    </w:p>
    <w:p>
      <w:pPr>
        <w:pStyle w:val="ListParagraph"/>
        <w:numPr>
          <w:ilvl w:val="0"/>
          <w:numId w:val="1"/>
        </w:numPr>
        <w:spacing w:after="200"/>
      </w:pPr>
      <w:r>
        <w:t xml:space="preserve">Ensure compliance with regulatory and contractual obligations</w:t>
      </w:r>
    </w:p>
    <w:p>
      <w:pPr>
        <w:pStyle w:val="Heading1"/>
        <w:spacing w:after="200"/>
      </w:pPr>
      <w:r>
        <w:t xml:space="preserve">2. SCOPE</w:t>
      </w:r>
    </w:p>
    <w:p>
      <w:pPr>
        <w:spacing w:line="240" w:after="150"/>
      </w:pPr>
      <w:r>
        <w:t xml:space="preserve">This policy applies to all employees, contractors and temporary staff who use company IT resources including:</w:t>
      </w:r>
    </w:p>
    <w:p>
      <w:pPr>
        <w:pStyle w:val="ListParagraph"/>
        <w:numPr>
          <w:ilvl w:val="0"/>
          <w:numId w:val="1"/>
        </w:numPr>
        <w:spacing w:after="100"/>
      </w:pPr>
      <w:r>
        <w:t xml:space="preserve">Company-issued computers, laptops and mobile devices</w:t>
      </w:r>
    </w:p>
    <w:p>
      <w:pPr>
        <w:pStyle w:val="ListParagraph"/>
        <w:numPr>
          <w:ilvl w:val="0"/>
          <w:numId w:val="1"/>
        </w:numPr>
        <w:spacing w:after="100"/>
      </w:pPr>
      <w:r>
        <w:t xml:space="preserve">Company email accounts and messaging systems</w:t>
      </w:r>
    </w:p>
    <w:p>
      <w:pPr>
        <w:pStyle w:val="ListParagraph"/>
        <w:numPr>
          <w:ilvl w:val="0"/>
          <w:numId w:val="1"/>
        </w:numPr>
        <w:spacing w:after="100"/>
      </w:pPr>
      <w:r>
        <w:t xml:space="preserve">Internet and network access</w:t>
      </w:r>
    </w:p>
    <w:p>
      <w:pPr>
        <w:pStyle w:val="ListParagraph"/>
        <w:numPr>
          <w:ilvl w:val="0"/>
          <w:numId w:val="1"/>
        </w:numPr>
        <w:spacing w:after="200"/>
      </w:pPr>
      <w:r>
        <w:t xml:space="preserve">Personally-owned devices connected to company networks (BYOD)</w:t>
      </w:r>
    </w:p>
    <w:p>
      <w:pPr>
        <w:pStyle w:val="Heading1"/>
        <w:spacing w:after="200"/>
      </w:pPr>
      <w:r>
        <w:t xml:space="preserve">3. INTERNET AND EMAIL USAGE</w:t>
      </w:r>
    </w:p>
    <w:p>
      <w:pPr>
        <w:spacing w:after="150"/>
      </w:pPr>
      <w:r>
        <w:t xml:space="preserve">Email Systems:</w:t>
      </w:r>
    </w:p>
    <w:p>
      <w:pPr>
        <w:pStyle w:val="ListParagraph"/>
        <w:numPr>
          <w:ilvl w:val="0"/>
          <w:numId w:val="1"/>
        </w:numPr>
        <w:spacing w:after="100"/>
      </w:pPr>
      <w:r>
        <w:t xml:space="preserve">Company email is intended for business purposes. Personal use is permitted if occasional and not interfering with business activities.</w:t>
      </w:r>
    </w:p>
    <w:p>
      <w:pPr>
        <w:pStyle w:val="ListParagraph"/>
        <w:numPr>
          <w:ilvl w:val="0"/>
          <w:numId w:val="1"/>
        </w:numPr>
        <w:spacing w:after="100"/>
      </w:pPr>
      <w:r>
        <w:t xml:space="preserve">Employees must maintain professional email standards and not send offensive, discriminatory or harassing content.</w:t>
      </w:r>
    </w:p>
    <w:p>
      <w:pPr>
        <w:pStyle w:val="ListParagraph"/>
        <w:numPr>
          <w:ilvl w:val="0"/>
          <w:numId w:val="1"/>
        </w:numPr>
        <w:spacing w:after="100"/>
      </w:pPr>
      <w:r>
        <w:t xml:space="preserve">Forwarding company emails to personal accounts is prohibited without explicit authorisation.</w:t>
      </w:r>
    </w:p>
    <w:p>
      <w:pPr>
        <w:pStyle w:val="ListParagraph"/>
        <w:numPr>
          <w:ilvl w:val="0"/>
          <w:numId w:val="1"/>
        </w:numPr>
        <w:spacing w:after="150"/>
      </w:pPr>
      <w:r>
        <w:t xml:space="preserve">All emails are subject to monitoring and may be retained for business, legal or regulatory purposes.</w:t>
      </w:r>
    </w:p>
    <w:p>
      <w:pPr>
        <w:spacing w:after="150"/>
      </w:pPr>
      <w:r>
        <w:t xml:space="preserve">Internet Access:</w:t>
      </w:r>
    </w:p>
    <w:p>
      <w:pPr>
        <w:pStyle w:val="ListParagraph"/>
        <w:numPr>
          <w:ilvl w:val="0"/>
          <w:numId w:val="1"/>
        </w:numPr>
        <w:spacing w:after="100"/>
      </w:pPr>
      <w:r>
        <w:t xml:space="preserve">Internet access is provided to support business operations. Excessive personal browsing is prohibited.</w:t>
      </w:r>
    </w:p>
    <w:p>
      <w:pPr>
        <w:pStyle w:val="ListParagraph"/>
        <w:numPr>
          <w:ilvl w:val="0"/>
          <w:numId w:val="1"/>
        </w:numPr>
        <w:spacing w:after="100"/>
      </w:pPr>
      <w:r>
        <w:t xml:space="preserve">Accessing adult content, illegal materials or streaming services is strictly prohibited.</w:t>
      </w:r>
    </w:p>
    <w:p>
      <w:pPr>
        <w:pStyle w:val="ListParagraph"/>
        <w:numPr>
          <w:ilvl w:val="0"/>
          <w:numId w:val="1"/>
        </w:numPr>
        <w:spacing w:after="100"/>
      </w:pPr>
      <w:r>
        <w:t xml:space="preserve">Downloading unauthorised files or software from the internet is prohibited.</w:t>
      </w:r>
    </w:p>
    <w:p>
      <w:pPr>
        <w:pStyle w:val="ListParagraph"/>
        <w:numPr>
          <w:ilvl w:val="0"/>
          <w:numId w:val="1"/>
        </w:numPr>
        <w:spacing w:after="200"/>
      </w:pPr>
      <w:r>
        <w:t xml:space="preserve">Internet usage is monitored for security and productivity purposes.</w:t>
      </w:r>
    </w:p>
    <w:p>
      <w:pPr>
        <w:pStyle w:val="Heading1"/>
        <w:spacing w:after="200"/>
      </w:pPr>
      <w:r>
        <w:t xml:space="preserve">4. BRING YOUR OWN DEVICE (BYOD)</w:t>
      </w:r>
    </w:p>
    <w:p>
      <w:pPr>
        <w:spacing w:line="240" w:after="150"/>
      </w:pPr>
      <w:r>
        <w:t xml:space="preserve">HorseInsure permits employees to use personally-owned devices (smartphones, tablets, laptops) for work purposes subject to the following conditions:</w:t>
      </w:r>
    </w:p>
    <w:p>
      <w:pPr>
        <w:pStyle w:val="ListParagraph"/>
        <w:numPr>
          <w:ilvl w:val="0"/>
          <w:numId w:val="1"/>
        </w:numPr>
        <w:spacing w:after="100"/>
      </w:pPr>
      <w:r>
        <w:t xml:space="preserve">Device Registration: All BYOD devices must be registered with the IT department before accessing company networks or data.</w:t>
      </w:r>
    </w:p>
    <w:p>
      <w:pPr>
        <w:pStyle w:val="ListParagraph"/>
        <w:numPr>
          <w:ilvl w:val="0"/>
          <w:numId w:val="1"/>
        </w:numPr>
        <w:spacing w:after="100"/>
      </w:pPr>
      <w:r>
        <w:t xml:space="preserve">Security Requirements: Devices must have current antivirus/anti-malware software, operating system patches and screen lock protection enabled.</w:t>
      </w:r>
    </w:p>
    <w:p>
      <w:pPr>
        <w:pStyle w:val="ListParagraph"/>
        <w:numPr>
          <w:ilvl w:val="0"/>
          <w:numId w:val="1"/>
        </w:numPr>
        <w:spacing w:after="100"/>
      </w:pPr>
      <w:r>
        <w:t xml:space="preserve">Data Separation: Company and personal data must be kept separate. Mobile device management (MDM) tools may be installed for security purposes.</w:t>
      </w:r>
    </w:p>
    <w:p>
      <w:pPr>
        <w:pStyle w:val="ListParagraph"/>
        <w:numPr>
          <w:ilvl w:val="0"/>
          <w:numId w:val="1"/>
        </w:numPr>
        <w:spacing w:after="100"/>
      </w:pPr>
      <w:r>
        <w:t xml:space="preserve">Loss or Theft: Employees must report lost or stolen BYOD devices immediately to IT to enable remote data wiping.</w:t>
      </w:r>
    </w:p>
    <w:p>
      <w:pPr>
        <w:pStyle w:val="ListParagraph"/>
        <w:numPr>
          <w:ilvl w:val="0"/>
          <w:numId w:val="1"/>
        </w:numPr>
        <w:spacing w:after="200"/>
      </w:pPr>
      <w:r>
        <w:t xml:space="preserve">Termination: Upon employment termination, all company data must be removed from personal devices.</w:t>
      </w:r>
    </w:p>
    <w:p>
      <w:pPr>
        <w:pStyle w:val="Heading1"/>
        <w:spacing w:after="200"/>
      </w:pPr>
      <w:r>
        <w:t xml:space="preserve">5. SOCIAL MEDIA GUIDELINES</w:t>
      </w:r>
    </w:p>
    <w:p>
      <w:pPr>
        <w:spacing w:line="240" w:after="150"/>
      </w:pPr>
      <w:r>
        <w:t xml:space="preserve">Using social media platforms during work time should be minimised and limited to business-related purposes. Employees are expected to:</w:t>
      </w:r>
    </w:p>
    <w:p>
      <w:pPr>
        <w:pStyle w:val="ListParagraph"/>
        <w:numPr>
          <w:ilvl w:val="0"/>
          <w:numId w:val="1"/>
        </w:numPr>
        <w:spacing w:after="100"/>
      </w:pPr>
      <w:r>
        <w:t xml:space="preserve">Never disclose confidential company information, client details or proprietary information on social media.</w:t>
      </w:r>
    </w:p>
    <w:p>
      <w:pPr>
        <w:pStyle w:val="ListParagraph"/>
        <w:numPr>
          <w:ilvl w:val="0"/>
          <w:numId w:val="1"/>
        </w:numPr>
        <w:spacing w:after="100"/>
      </w:pPr>
      <w:r>
        <w:t xml:space="preserve">Not post offensive, harassing or discriminatory content that identifies HorseInsure.</w:t>
      </w:r>
    </w:p>
    <w:p>
      <w:pPr>
        <w:pStyle w:val="ListParagraph"/>
        <w:numPr>
          <w:ilvl w:val="0"/>
          <w:numId w:val="1"/>
        </w:numPr>
        <w:spacing w:after="100"/>
      </w:pPr>
      <w:r>
        <w:t xml:space="preserve">Not represent personal opinions as company policy or positions.</w:t>
      </w:r>
    </w:p>
    <w:p>
      <w:pPr>
        <w:pStyle w:val="ListParagraph"/>
        <w:numPr>
          <w:ilvl w:val="0"/>
          <w:numId w:val="1"/>
        </w:numPr>
        <w:spacing w:after="200"/>
      </w:pPr>
      <w:r>
        <w:t xml:space="preserve">Maintain professional conduct even on personal social media accounts when identifying employment.</w:t>
      </w:r>
    </w:p>
    <w:p>
      <w:pPr>
        <w:pStyle w:val="Heading1"/>
        <w:spacing w:after="200"/>
      </w:pPr>
      <w:r>
        <w:t xml:space="preserve">6. SOFTWARE AND LICENSING</w:t>
      </w:r>
    </w:p>
    <w:p>
      <w:pPr>
        <w:spacing w:line="240" w:after="150"/>
      </w:pPr>
      <w:r>
        <w:t xml:space="preserve">Employees must use only licensed software authorised by the IT department. Unauthorised software installation is prohibited as it creates security and legal risks:</w:t>
      </w:r>
    </w:p>
    <w:p>
      <w:pPr>
        <w:pStyle w:val="ListParagraph"/>
        <w:numPr>
          <w:ilvl w:val="0"/>
          <w:numId w:val="1"/>
        </w:numPr>
        <w:spacing w:after="100"/>
      </w:pPr>
      <w:r>
        <w:t xml:space="preserve">Software must not be copied or distributed outside the organisation.</w:t>
      </w:r>
    </w:p>
    <w:p>
      <w:pPr>
        <w:pStyle w:val="ListParagraph"/>
        <w:numPr>
          <w:ilvl w:val="0"/>
          <w:numId w:val="1"/>
        </w:numPr>
        <w:spacing w:after="100"/>
      </w:pPr>
      <w:r>
        <w:t xml:space="preserve">Personal software is not permitted on company computers unless expressly approved.</w:t>
      </w:r>
    </w:p>
    <w:p>
      <w:pPr>
        <w:pStyle w:val="ListParagraph"/>
        <w:numPr>
          <w:ilvl w:val="0"/>
          <w:numId w:val="1"/>
        </w:numPr>
        <w:spacing w:after="200"/>
      </w:pPr>
      <w:r>
        <w:t xml:space="preserve">Pirated or illegally obtained software is strictly prohibited.</w:t>
      </w:r>
    </w:p>
    <w:p>
      <w:pPr>
        <w:pStyle w:val="Heading1"/>
        <w:spacing w:after="200"/>
      </w:pPr>
      <w:r>
        <w:t xml:space="preserve">7. MONITORING AND COMPLIANCE</w:t>
      </w:r>
    </w:p>
    <w:p>
      <w:pPr>
        <w:spacing w:line="240" w:after="150"/>
      </w:pPr>
      <w:r>
        <w:t xml:space="preserve">HorseInsure reserves the right to monitor use of company IT resources to ensure compliance with this policy and protect company assets. This may include:</w:t>
      </w:r>
    </w:p>
    <w:p>
      <w:pPr>
        <w:pStyle w:val="ListParagraph"/>
        <w:numPr>
          <w:ilvl w:val="0"/>
          <w:numId w:val="1"/>
        </w:numPr>
        <w:spacing w:after="100"/>
      </w:pPr>
      <w:r>
        <w:t xml:space="preserve">Monitoring email content and attachments</w:t>
      </w:r>
    </w:p>
    <w:p>
      <w:pPr>
        <w:pStyle w:val="ListParagraph"/>
        <w:numPr>
          <w:ilvl w:val="0"/>
          <w:numId w:val="1"/>
        </w:numPr>
        <w:spacing w:after="100"/>
      </w:pPr>
      <w:r>
        <w:t xml:space="preserve">Logging internet activity and web access</w:t>
      </w:r>
    </w:p>
    <w:p>
      <w:pPr>
        <w:pStyle w:val="ListParagraph"/>
        <w:numPr>
          <w:ilvl w:val="0"/>
          <w:numId w:val="1"/>
        </w:numPr>
        <w:spacing w:after="100"/>
      </w:pPr>
      <w:r>
        <w:t xml:space="preserve">Reviewing file transfers and download activity</w:t>
      </w:r>
    </w:p>
    <w:p>
      <w:pPr>
        <w:pStyle w:val="ListParagraph"/>
        <w:numPr>
          <w:ilvl w:val="0"/>
          <w:numId w:val="1"/>
        </w:numPr>
        <w:spacing w:after="100"/>
      </w:pPr>
      <w:r>
        <w:t xml:space="preserve">Monitoring USB and removable device connections</w:t>
      </w:r>
    </w:p>
    <w:p>
      <w:pPr>
        <w:pStyle w:val="ListParagraph"/>
        <w:numPr>
          <w:ilvl w:val="0"/>
          <w:numId w:val="1"/>
        </w:numPr>
        <w:spacing w:after="200"/>
      </w:pPr>
      <w:r>
        <w:t xml:space="preserve">Conducting periodic audits of system usage</w:t>
      </w:r>
    </w:p>
    <w:p>
      <w:pPr>
        <w:pStyle w:val="Heading1"/>
        <w:spacing w:after="200"/>
      </w:pPr>
      <w:r>
        <w:t xml:space="preserve">8. PROHIBITED ACTIVITIES</w:t>
      </w:r>
    </w:p>
    <w:p>
      <w:pPr>
        <w:spacing w:after="150"/>
      </w:pPr>
      <w:r>
        <w:t xml:space="preserve">The following activities are strictly prohibited:</w:t>
      </w:r>
    </w:p>
    <w:p>
      <w:pPr>
        <w:pStyle w:val="ListParagraph"/>
        <w:numPr>
          <w:ilvl w:val="0"/>
          <w:numId w:val="1"/>
        </w:numPr>
        <w:spacing w:after="100"/>
      </w:pPr>
      <w:r>
        <w:t xml:space="preserve">Unauthorised access to company systems or data</w:t>
      </w:r>
    </w:p>
    <w:p>
      <w:pPr>
        <w:pStyle w:val="ListParagraph"/>
        <w:numPr>
          <w:ilvl w:val="0"/>
          <w:numId w:val="1"/>
        </w:numPr>
        <w:spacing w:after="100"/>
      </w:pPr>
      <w:r>
        <w:t xml:space="preserve">Transmitting viruses, malware or other harmful code</w:t>
      </w:r>
    </w:p>
    <w:p>
      <w:pPr>
        <w:pStyle w:val="ListParagraph"/>
        <w:numPr>
          <w:ilvl w:val="0"/>
          <w:numId w:val="1"/>
        </w:numPr>
        <w:spacing w:after="100"/>
      </w:pPr>
      <w:r>
        <w:t xml:space="preserve">Downloading, sharing or distributing copyrighted material without authorisation</w:t>
      </w:r>
    </w:p>
    <w:p>
      <w:pPr>
        <w:pStyle w:val="ListParagraph"/>
        <w:numPr>
          <w:ilvl w:val="0"/>
          <w:numId w:val="1"/>
        </w:numPr>
        <w:spacing w:after="100"/>
      </w:pPr>
      <w:r>
        <w:t xml:space="preserve">Attempting to hack or bypass security controls</w:t>
      </w:r>
    </w:p>
    <w:p>
      <w:pPr>
        <w:pStyle w:val="ListParagraph"/>
        <w:numPr>
          <w:ilvl w:val="0"/>
          <w:numId w:val="1"/>
        </w:numPr>
        <w:spacing w:after="100"/>
      </w:pPr>
      <w:r>
        <w:t xml:space="preserve">Using company resources for illegal activities</w:t>
      </w:r>
    </w:p>
    <w:p>
      <w:pPr>
        <w:pStyle w:val="ListParagraph"/>
        <w:numPr>
          <w:ilvl w:val="0"/>
          <w:numId w:val="1"/>
        </w:numPr>
        <w:spacing w:after="100"/>
      </w:pPr>
      <w:r>
        <w:t xml:space="preserve">Harassment, bullying or threatening conduct online</w:t>
      </w:r>
    </w:p>
    <w:p>
      <w:pPr>
        <w:spacing w:line="240" w:after="200" italics="true"/>
      </w:pPr>
      <w:r>
        <w:t xml:space="preserve">Violation of this policy may result in disciplinary action up to and including termination of employment.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right w:val="none"/>
        <w:insideH w:val="none"/>
        <w:insideV w:val="none"/>
      </w:tblBorders>
    </w:tblPr>
    <w:tblGrid>
      <w:gridCol w:w="100"/>
      <w:gridCol w:w="100"/>
    </w:tblGrid>
    <w:tr>
      <w:tc>
        <w:tcPr>
          <w:tcW w:type="pct" w:w="50%"/>
        </w:tcPr>
        <w:p>
          <w:r>
            <w:t xml:space="preserve">HorseInsure Pty Ltd</w:t>
          </w:r>
        </w:p>
      </w:tc>
      <w:tc>
        <w:tcPr>
          <w:tcW w:type="pct" w:w="50%"/>
        </w:tcPr>
        <w:p>
          <w:r>
            <w:t xml:space="preserve">ABN 41 209 837 156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2026-02-15T07:22:42.277Z</dcterms:created>
  <dcterms:modified xsi:type="dcterms:W3CDTF">2026-02-15T07:22:42.277Z</dcterms:modified>
</cp:coreProperties>
</file>

<file path=docProps/custom.xml><?xml version="1.0" encoding="utf-8"?>
<Properties xmlns="http://schemas.openxmlformats.org/officeDocument/2006/custom-properties" xmlns:vt="http://schemas.openxmlformats.org/officeDocument/2006/docPropsVTypes"/>
</file>