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ISMS-001</w:t>
      </w:r>
    </w:p>
    <w:p>
      <w:pPr>
        <w:jc w:val="center"/>
      </w:pPr>
      <w:r>
        <w:rPr>
          <w:b/>
          <w:sz w:val="28"/>
        </w:rPr>
        <w:t>Information Security Management System Scope and Context</w:t>
      </w:r>
    </w:p>
    <w:p>
      <w:pPr>
        <w:jc w:val="center"/>
      </w:pPr>
      <w:r>
        <w:rPr>
          <w:b/>
          <w:sz w:val="24"/>
        </w:rPr>
        <w:t>HorseInsure Pty Ltd</w:t>
      </w:r>
    </w:p>
    <w:tbl>
      <w:tblPr>
        <w:tblStyle w:val="LightGrid-Accent1"/>
        <w:tblW w:type="auto" w:w="0"/>
        <w:tblLook w:firstColumn="1" w:firstRow="1" w:lastColumn="0" w:lastRow="0" w:noHBand="0" w:noVBand="1" w:val="04A0"/>
      </w:tblPr>
      <w:tblGrid>
        <w:gridCol w:w="4320"/>
        <w:gridCol w:w="4320"/>
      </w:tblGrid>
      <w:tr>
        <w:tc>
          <w:tcPr>
            <w:tcW w:type="dxa" w:w="4320"/>
          </w:tcPr>
          <w:p>
            <w:r>
              <w:t>Document ID:</w:t>
            </w:r>
          </w:p>
        </w:tc>
        <w:tc>
          <w:tcPr>
            <w:tcW w:type="dxa" w:w="4320"/>
          </w:tcPr>
          <w:p>
            <w:r>
              <w:t>ISMS-001</w:t>
            </w:r>
          </w:p>
        </w:tc>
      </w:tr>
      <w:tr>
        <w:tc>
          <w:tcPr>
            <w:tcW w:type="dxa" w:w="4320"/>
          </w:tcPr>
          <w:p>
            <w:r>
              <w:t>Version:</w:t>
            </w:r>
          </w:p>
        </w:tc>
        <w:tc>
          <w:tcPr>
            <w:tcW w:type="dxa" w:w="4320"/>
          </w:tcPr>
          <w:p>
            <w:r>
              <w:t>2.0</w:t>
            </w:r>
          </w:p>
        </w:tc>
      </w:tr>
      <w:tr>
        <w:tc>
          <w:tcPr>
            <w:tcW w:type="dxa" w:w="4320"/>
          </w:tcPr>
          <w:p>
            <w:r>
              <w:t>Approved by:</w:t>
            </w:r>
          </w:p>
        </w:tc>
        <w:tc>
          <w:tcPr>
            <w:tcW w:type="dxa" w:w="4320"/>
          </w:tcPr>
          <w:p>
            <w:r>
              <w:t>Margaret Thornton (CEO)</w:t>
            </w:r>
          </w:p>
        </w:tc>
      </w:tr>
      <w:tr>
        <w:tc>
          <w:tcPr>
            <w:tcW w:type="dxa" w:w="4320"/>
          </w:tcPr>
          <w:p>
            <w:r>
              <w:t>Approval Date:</w:t>
            </w:r>
          </w:p>
        </w:tc>
        <w:tc>
          <w:tcPr>
            <w:tcW w:type="dxa" w:w="4320"/>
          </w:tcPr>
          <w:p>
            <w:r>
              <w:t>15 March 2025</w:t>
            </w:r>
          </w:p>
        </w:tc>
      </w:tr>
      <w:tr>
        <w:tc>
          <w:tcPr>
            <w:tcW w:type="dxa" w:w="4320"/>
          </w:tcPr>
          <w:p>
            <w:r>
              <w:t>Owner:</w:t>
            </w:r>
          </w:p>
        </w:tc>
        <w:tc>
          <w:tcPr>
            <w:tcW w:type="dxa" w:w="4320"/>
          </w:tcPr>
          <w:p>
            <w:r>
              <w:t>David Chen (CIO/CISO)</w:t>
            </w:r>
          </w:p>
        </w:tc>
      </w:tr>
      <w:tr>
        <w:tc>
          <w:tcPr>
            <w:tcW w:type="dxa" w:w="4320"/>
          </w:tcPr>
          <w:p>
            <w:r>
              <w:t>Next Review:</w:t>
            </w:r>
          </w:p>
        </w:tc>
        <w:tc>
          <w:tcPr>
            <w:tcW w:type="dxa" w:w="4320"/>
          </w:tcPr>
          <w:p>
            <w:r>
              <w:t>15 March 2026</w:t>
            </w:r>
          </w:p>
        </w:tc>
      </w:tr>
    </w:tbl>
    <w:p>
      <w:r>
        <w:br w:type="page"/>
      </w:r>
    </w:p>
    <w:p>
      <w:pPr>
        <w:pStyle w:val="Heading1"/>
      </w:pPr>
      <w:r>
        <w:t>1. Organisation Context</w:t>
      </w:r>
    </w:p>
    <w:p>
      <w:r>
        <w:t>HorseInsure Pty Ltd was established in 2003 and is headquartered at Level 12, 45 Pitt Street, Sydney CBD. The company is a specialist equine insurance provider, offering comprehensive coverage for thoroughbred horses, working horses, show horses, and inflatable/blow-up horse products designed for event insurance purposes. Our product suite includes comprehensive policies for professional equestrian facilities, breeders, and event organisers.</w:t>
      </w:r>
    </w:p>
    <w:p>
      <w:r>
        <w:t>The organisation currently employs 254 staff members distributed across three primary business locations:</w:t>
      </w:r>
    </w:p>
    <w:p>
      <w:pPr>
        <w:pStyle w:val="ListBullet"/>
      </w:pPr>
      <w:r>
        <w:t>Sydney CBD headquarters (Level 12, 45 Pitt Street)</w:t>
      </w:r>
    </w:p>
    <w:p>
      <w:pPr>
        <w:pStyle w:val="ListBullet"/>
      </w:pPr>
      <w:r>
        <w:t>Dubbo regional office</w:t>
      </w:r>
    </w:p>
    <w:p>
      <w:pPr>
        <w:pStyle w:val="ListBullet"/>
      </w:pPr>
      <w:r>
        <w:t>Scone warehouse facility</w:t>
      </w:r>
    </w:p>
    <w:p>
      <w:r>
        <w:t>HorseInsure Pty Ltd is regulated by the Australian Prudential Regulation Authority (APRA) and is subject to the Privacy Act 1988 (Cth). Our operating model ensures compliance with prudential standards and privacy obligations whilst maintaining the highest standards of information security.</w:t>
      </w:r>
    </w:p>
    <w:p>
      <w:r>
        <w:t>Key external stakeholders include policyholders, reinsurance partners (Munich Re, Swiss Re), insurance brokers, veterinary partners, APRA, and the Office of the Australian Information Commissioner (OAIC). These stakeholder relationships are fundamental to our business operations and inform our information security strategy.</w:t>
      </w:r>
    </w:p>
    <w:p>
      <w:pPr>
        <w:pStyle w:val="Heading1"/>
      </w:pPr>
      <w:r>
        <w:t>2. Scope of the Information Security Management System</w:t>
      </w:r>
    </w:p>
    <w:p>
      <w:r>
        <w:t>The ISMS covers all information processing activities related to the organisation's primary business operations including equine insurance underwriting, claims management, policy administration, and supporting corporate functions. This encompasses all data flows, system architectures, and information handling procedures across the primary business operations.</w:t>
      </w:r>
    </w:p>
    <w:p>
      <w:r>
        <w:t>Physical locations within the primary business operations scope include:</w:t>
      </w:r>
    </w:p>
    <w:p>
      <w:pPr>
        <w:pStyle w:val="ListBullet"/>
      </w:pPr>
      <w:r>
        <w:t>Sydney CBD head office (Level 12, 45 Pitt Street)</w:t>
      </w:r>
    </w:p>
    <w:p>
      <w:pPr>
        <w:pStyle w:val="ListBullet"/>
      </w:pPr>
      <w:r>
        <w:t>Dubbo regional office</w:t>
      </w:r>
    </w:p>
    <w:p>
      <w:r>
        <w:t>Information systems and applications covered by the ISMS scope include:</w:t>
      </w:r>
    </w:p>
    <w:p>
      <w:pPr>
        <w:pStyle w:val="ListBullet"/>
      </w:pPr>
      <w:r>
        <w:t>EquiClaim (claims management system)</w:t>
      </w:r>
    </w:p>
    <w:p>
      <w:pPr>
        <w:pStyle w:val="ListBullet"/>
      </w:pPr>
      <w:r>
        <w:t>EquiPolicy (policy administration system)</w:t>
      </w:r>
    </w:p>
    <w:p>
      <w:pPr>
        <w:pStyle w:val="ListBullet"/>
      </w:pPr>
      <w:r>
        <w:t>EquiQuote (underwriting system)</w:t>
      </w:r>
    </w:p>
    <w:p>
      <w:pPr>
        <w:pStyle w:val="ListBullet"/>
      </w:pPr>
      <w:r>
        <w:t>SAP Finance (financial management)</w:t>
      </w:r>
    </w:p>
    <w:p>
      <w:pPr>
        <w:pStyle w:val="ListBullet"/>
      </w:pPr>
      <w:r>
        <w:t>Microsoft 365 (collaboration and productivity)</w:t>
      </w:r>
    </w:p>
    <w:p>
      <w:pPr>
        <w:pStyle w:val="ListBullet"/>
      </w:pPr>
      <w:r>
        <w:t>Azure AD (identity and access management)</w:t>
      </w:r>
    </w:p>
    <w:p>
      <w:pPr>
        <w:pStyle w:val="ListBullet"/>
      </w:pPr>
      <w:r>
        <w:t>Salesforce (broker and stakeholder relationship management)</w:t>
      </w:r>
    </w:p>
    <w:p>
      <w:r>
        <w:t>The ISMS does not extend to legacy systems that have been decommissioned or to third-party hosted solutions accessed exclusively through managed cloud providers without direct organisational control. Coverage focuses on systems subject to direct organisational administration and control.</w:t>
      </w:r>
    </w:p>
    <w:p>
      <w:pPr>
        <w:pStyle w:val="Heading1"/>
      </w:pPr>
      <w:r>
        <w:t>3. Interested Parties and Their Requirements</w:t>
      </w:r>
    </w:p>
    <w:p>
      <w:r>
        <w:t>The following table identifies key interested parties and their information security requirements: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Interested Party</w:t>
            </w:r>
          </w:p>
        </w:tc>
        <w:tc>
          <w:tcPr>
            <w:tcW w:type="dxa" w:w="4320"/>
            <w:shd w:fill="D3D3D3"/>
          </w:tcPr>
          <w:p>
            <w:r>
              <w:t>Requirements</w:t>
            </w:r>
          </w:p>
        </w:tc>
      </w:tr>
      <w:tr>
        <w:tc>
          <w:tcPr>
            <w:tcW w:type="dxa" w:w="4320"/>
          </w:tcPr>
          <w:p>
            <w:r>
              <w:t>Policyholders</w:t>
            </w:r>
          </w:p>
        </w:tc>
        <w:tc>
          <w:tcPr>
            <w:tcW w:type="dxa" w:w="4320"/>
          </w:tcPr>
          <w:p>
            <w:r>
              <w:t>Confidentiality of personal and equine data; secure claims processing; timely and accurate policy administration; fair treatment</w:t>
            </w:r>
          </w:p>
        </w:tc>
      </w:tr>
      <w:tr>
        <w:tc>
          <w:tcPr>
            <w:tcW w:type="dxa" w:w="4320"/>
          </w:tcPr>
          <w:p>
            <w:r>
              <w:t>APRA</w:t>
            </w:r>
          </w:p>
        </w:tc>
        <w:tc>
          <w:tcPr>
            <w:tcW w:type="dxa" w:w="4320"/>
          </w:tcPr>
          <w:p>
            <w:r>
              <w:t>Compliance with prudential standards (CPS 234); operational resilience; risk management governance</w:t>
            </w:r>
          </w:p>
        </w:tc>
      </w:tr>
      <w:tr>
        <w:tc>
          <w:tcPr>
            <w:tcW w:type="dxa" w:w="4320"/>
          </w:tcPr>
          <w:p>
            <w:r>
              <w:t>OAIC</w:t>
            </w:r>
          </w:p>
        </w:tc>
        <w:tc>
          <w:tcPr>
            <w:tcW w:type="dxa" w:w="4320"/>
          </w:tcPr>
          <w:p>
            <w:r>
              <w:t>Privacy Act 1988 (Cth) compliance; breach notification; personal information handling standards</w:t>
            </w:r>
          </w:p>
        </w:tc>
      </w:tr>
      <w:tr>
        <w:tc>
          <w:tcPr>
            <w:tcW w:type="dxa" w:w="4320"/>
          </w:tcPr>
          <w:p>
            <w:r>
              <w:t>Reinsurers</w:t>
            </w:r>
          </w:p>
        </w:tc>
        <w:tc>
          <w:tcPr>
            <w:tcW w:type="dxa" w:w="4320"/>
          </w:tcPr>
          <w:p>
            <w:r>
              <w:t>Data accuracy; confidentiality of loss and claims information; secure information exchange</w:t>
            </w:r>
          </w:p>
        </w:tc>
      </w:tr>
      <w:tr>
        <w:tc>
          <w:tcPr>
            <w:tcW w:type="dxa" w:w="4320"/>
          </w:tcPr>
          <w:p>
            <w:r>
              <w:t>Employees</w:t>
            </w:r>
          </w:p>
        </w:tc>
        <w:tc>
          <w:tcPr>
            <w:tcW w:type="dxa" w:w="4320"/>
          </w:tcPr>
          <w:p>
            <w:r>
              <w:t>Personal data privacy; workplace information security awareness; clear policies and procedures</w:t>
            </w:r>
          </w:p>
        </w:tc>
      </w:tr>
      <w:tr>
        <w:tc>
          <w:tcPr>
            <w:tcW w:type="dxa" w:w="4320"/>
          </w:tcPr>
          <w:p>
            <w:r>
              <w:t>Brokers</w:t>
            </w:r>
          </w:p>
        </w:tc>
        <w:tc>
          <w:tcPr>
            <w:tcW w:type="dxa" w:w="4320"/>
          </w:tcPr>
          <w:p>
            <w:r>
              <w:t>Secure system access; timely processing; data security in quote and policy management</w:t>
            </w:r>
          </w:p>
        </w:tc>
      </w:tr>
      <w:tr>
        <w:tc>
          <w:tcPr>
            <w:tcW w:type="dxa" w:w="4320"/>
          </w:tcPr>
          <w:p>
            <w:r>
              <w:t>Board of Directors</w:t>
            </w:r>
          </w:p>
        </w:tc>
        <w:tc>
          <w:tcPr>
            <w:tcW w:type="dxa" w:w="4320"/>
          </w:tcPr>
          <w:p>
            <w:r>
              <w:t>Risk management; governance and oversight; compliance assurance; incident management</w:t>
            </w:r>
          </w:p>
        </w:tc>
      </w:tr>
      <w:tr>
        <w:tc>
          <w:tcPr>
            <w:tcW w:type="dxa" w:w="4320"/>
          </w:tcPr>
          <w:p/>
        </w:tc>
        <w:tc>
          <w:tcPr>
            <w:tcW w:type="dxa" w:w="4320"/>
          </w:tcPr>
          <w:p/>
        </w:tc>
      </w:tr>
    </w:tbl>
    <w:p>
      <w:r>
        <w:br w:type="page"/>
      </w:r>
    </w:p>
    <w:p>
      <w:pPr>
        <w:pStyle w:val="Heading1"/>
      </w:pPr>
      <w:r>
        <w:t>4. ISMS Objectives</w:t>
      </w:r>
    </w:p>
    <w:p>
      <w:r>
        <w:t>The primary objectives of the Information Security Management System are referenced in document OBJ-001 and include:</w:t>
      </w:r>
    </w:p>
    <w:p>
      <w:pPr>
        <w:pStyle w:val="ListBullet"/>
      </w:pPr>
      <w:r>
        <w:t>Establish a comprehensive information security framework aligned with regulatory requirements and industry best practice</w:t>
      </w:r>
    </w:p>
    <w:p>
      <w:pPr>
        <w:pStyle w:val="ListBullet"/>
      </w:pPr>
      <w:r>
        <w:t>Protect the confidentiality, integrity, and availability of information assets</w:t>
      </w:r>
    </w:p>
    <w:p>
      <w:pPr>
        <w:pStyle w:val="ListBullet"/>
      </w:pPr>
      <w:r>
        <w:t>Ensure compliance with the Privacy Act 1988 (Cth) and APRA prudential standards</w:t>
      </w:r>
    </w:p>
    <w:p>
      <w:pPr>
        <w:pStyle w:val="ListBullet"/>
      </w:pPr>
      <w:r>
        <w:t>Manage information security risks through systematic risk assessment and treatment</w:t>
      </w:r>
    </w:p>
    <w:p>
      <w:pPr>
        <w:pStyle w:val="ListBullet"/>
      </w:pPr>
      <w:r>
        <w:t>Develop a security-aware culture amongst all employees and contractors</w:t>
      </w:r>
    </w:p>
    <w:p>
      <w:pPr>
        <w:pStyle w:val="ListBullet"/>
      </w:pPr>
      <w:r>
        <w:t>Maintain business continuity and operational resilience through information security controls</w:t>
      </w:r>
    </w:p>
    <w:p>
      <w:pPr>
        <w:pStyle w:val="Heading1"/>
      </w:pPr>
      <w:r>
        <w:t>5. Leadership and Governance</w:t>
      </w:r>
    </w:p>
    <w:p>
      <w:r>
        <w:t>The ISMS governance structure establishes clear roles and responsibilities for information security management. David Chen, as CIO/CISO, holds overall responsibility for the ISMS and its continued effectiveness. Margaret Thornton (CEO) provides executive sponsorship and strategic direction.</w:t>
      </w:r>
    </w:p>
    <w:p>
      <w:r>
        <w:t>An Information Security Committee oversees ISMS performance and meets quarterly to review security metrics, incident reports, and risk assessments. The committee is chaired by David Chen and includes representatives from IT, Compliance, Risk, and relevant business units.</w:t>
      </w:r>
    </w:p>
    <w:p>
      <w:r>
        <w:t>Scheduled Information Security Committee Meetings: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Quarter</w:t>
            </w:r>
          </w:p>
        </w:tc>
        <w:tc>
          <w:tcPr>
            <w:tcW w:type="dxa" w:w="2880"/>
            <w:shd w:fill="D3D3D3"/>
          </w:tcPr>
          <w:p>
            <w:r>
              <w:t>Scheduled Date</w:t>
            </w:r>
          </w:p>
        </w:tc>
        <w:tc>
          <w:tcPr>
            <w:tcW w:type="dxa" w:w="2880"/>
            <w:shd w:fill="D3D3D3"/>
          </w:tcPr>
          <w:p>
            <w:r>
              <w:t>Status</w:t>
            </w:r>
          </w:p>
        </w:tc>
      </w:tr>
      <w:tr>
        <w:tc>
          <w:tcPr>
            <w:tcW w:type="dxa" w:w="2880"/>
          </w:tcPr>
          <w:p>
            <w:r>
              <w:t>Q1 2025</w:t>
            </w:r>
          </w:p>
        </w:tc>
        <w:tc>
          <w:tcPr>
            <w:tcW w:type="dxa" w:w="2880"/>
          </w:tcPr>
          <w:p>
            <w:r>
              <w:t>14 February 2025</w:t>
            </w:r>
          </w:p>
        </w:tc>
        <w:tc>
          <w:tcPr>
            <w:tcW w:type="dxa" w:w="2880"/>
          </w:tcPr>
          <w:p>
            <w:r>
              <w:t>Completed</w:t>
            </w:r>
          </w:p>
        </w:tc>
      </w:tr>
      <w:tr>
        <w:tc>
          <w:tcPr>
            <w:tcW w:type="dxa" w:w="2880"/>
          </w:tcPr>
          <w:p>
            <w:r>
              <w:t>Q2 2025</w:t>
            </w:r>
          </w:p>
        </w:tc>
        <w:tc>
          <w:tcPr>
            <w:tcW w:type="dxa" w:w="2880"/>
          </w:tcPr>
          <w:p>
            <w:r>
              <w:t>16 May 2025</w:t>
            </w:r>
          </w:p>
        </w:tc>
        <w:tc>
          <w:tcPr>
            <w:tcW w:type="dxa" w:w="2880"/>
          </w:tcPr>
          <w:p>
            <w:r>
              <w:t>Completed</w:t>
            </w:r>
          </w:p>
        </w:tc>
      </w:tr>
      <w:tr>
        <w:tc>
          <w:tcPr>
            <w:tcW w:type="dxa" w:w="2880"/>
          </w:tcPr>
          <w:p>
            <w:r>
              <w:t>Q3 2025</w:t>
            </w:r>
          </w:p>
        </w:tc>
        <w:tc>
          <w:tcPr>
            <w:tcW w:type="dxa" w:w="2880"/>
          </w:tcPr>
          <w:p>
            <w:r>
              <w:t>15 August 2025</w:t>
            </w:r>
          </w:p>
        </w:tc>
        <w:tc>
          <w:tcPr>
            <w:tcW w:type="dxa" w:w="2880"/>
          </w:tcPr>
          <w:p>
            <w:r>
              <w:t>Completed</w:t>
            </w:r>
          </w:p>
        </w:tc>
      </w:tr>
      <w:tr>
        <w:tc>
          <w:tcPr>
            <w:tcW w:type="dxa" w:w="2880"/>
          </w:tcPr>
          <w:p>
            <w:r>
              <w:t>Q4 2025</w:t>
            </w:r>
          </w:p>
        </w:tc>
        <w:tc>
          <w:tcPr>
            <w:tcW w:type="dxa" w:w="2880"/>
          </w:tcPr>
          <w:p>
            <w:r>
              <w:t>21 November 2025</w:t>
            </w:r>
          </w:p>
        </w:tc>
        <w:tc>
          <w:tcPr>
            <w:tcW w:type="dxa" w:w="2880"/>
          </w:tcPr>
          <w:p>
            <w:r>
              <w:t>Postponed — to be rescheduled</w:t>
            </w:r>
          </w:p>
        </w:tc>
      </w:tr>
    </w:tbl>
    <w:p>
      <w:r>
        <w:br w:type="page"/>
      </w:r>
    </w:p>
    <w:p>
      <w:pPr>
        <w:pStyle w:val="Heading1"/>
      </w:pPr>
      <w:r>
        <w:t>6. Document References</w:t>
      </w:r>
    </w:p>
    <w:p>
      <w:r>
        <w:t>The following documents form the information security management framework:</w:t>
      </w:r>
    </w:p>
    <w:p>
      <w:pPr>
        <w:pStyle w:val="ListBullet"/>
      </w:pPr>
      <w:r>
        <w:t>Policies (POL-001 through POL-014)</w:t>
      </w:r>
    </w:p>
    <w:p>
      <w:pPr>
        <w:pStyle w:val="ListBullet"/>
      </w:pPr>
      <w:r>
        <w:t>Procedures (PRO-001 through PRO-008)</w:t>
      </w:r>
    </w:p>
    <w:p>
      <w:pPr>
        <w:pStyle w:val="ListBullet"/>
      </w:pPr>
      <w:r>
        <w:t>Objectives and Targets (OBJ-001)</w:t>
      </w:r>
    </w:p>
    <w:p>
      <w:pPr>
        <w:pStyle w:val="ListBullet"/>
      </w:pPr>
      <w:r>
        <w:t>Risk Assessment Reports</w:t>
      </w:r>
    </w:p>
    <w:p>
      <w:pPr>
        <w:pStyle w:val="ListBullet"/>
      </w:pPr>
      <w:r>
        <w:t>Supplier Assessment Documentation</w:t>
      </w:r>
    </w:p>
    <w:p>
      <w:pPr>
        <w:pStyle w:val="ListBullet"/>
      </w:pPr>
      <w:r>
        <w:t>Incident Management Records</w:t>
      </w:r>
    </w:p>
    <w:p>
      <w:r>
        <w:t>All referenced documents are maintained within the Information Security document management system and are subject to version control and change management procedures.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ISMS-001</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