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HorseInsure Pty Ltd</w:t>
      </w:r>
    </w:p>
    <w:p>
      <w:pPr>
        <w:spacing w:after="400"/>
        <w:jc w:val="center"/>
      </w:pPr>
      <w:r>
        <w:t xml:space="preserve">Business Continuity Plan</w:t>
      </w:r>
    </w:p>
    <w:p>
      <w:pPr>
        <w:spacing w:after="200"/>
      </w:pPr>
      <w:r>
        <w:t xml:space="preserve">Document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D3D3D3" w:val="clear"/>
          </w:tcPr>
          <w:p>
            <w:r>
              <w:t xml:space="preserve">Version:</w:t>
            </w:r>
          </w:p>
        </w:tc>
        <w:tc>
          <w:tcPr>
            <w:tcW w:type="dxa" w:w="2000"/>
          </w:tcPr>
          <w:p>
            <w:r>
              <w:t xml:space="preserve">1.1</w:t>
            </w:r>
          </w:p>
        </w:tc>
      </w:tr>
      <w:tr>
        <w:tc>
          <w:tcPr>
            <w:tcW w:type="dxa" w:w="2000"/>
            <w:shd w:fill="D3D3D3" w:val="clear"/>
          </w:tcPr>
          <w:p>
            <w:r>
              <w:t xml:space="preserve">Approved:</w:t>
            </w:r>
          </w:p>
        </w:tc>
        <w:tc>
          <w:tcPr>
            <w:tcW w:type="dxa" w:w="2000"/>
          </w:tcPr>
          <w:p>
            <w:r>
              <w:t xml:space="preserve">22 September 2024</w:t>
            </w:r>
          </w:p>
        </w:tc>
      </w:tr>
      <w:tr>
        <w:tc>
          <w:tcPr>
            <w:tcW w:type="dxa" w:w="2000"/>
            <w:shd w:fill="D3D3D3" w:val="clear"/>
          </w:tcPr>
          <w:p>
            <w:r>
              <w:t xml:space="preserve">Next Review Due:</w:t>
            </w:r>
          </w:p>
        </w:tc>
        <w:tc>
          <w:tcPr>
            <w:tcW w:type="dxa" w:w="2000"/>
          </w:tcPr>
          <w:p>
            <w:r>
              <w:t xml:space="preserve">22 September 2025 (OVERDUE)</w:t>
            </w:r>
          </w:p>
        </w:tc>
      </w:tr>
      <w:tr>
        <w:tc>
          <w:tcPr>
            <w:tcW w:type="dxa" w:w="2000"/>
            <w:shd w:fill="D3D3D3" w:val="clear"/>
          </w:tcPr>
          <w:p>
            <w:r>
              <w:t xml:space="preserve">Plan Owner:</w:t>
            </w:r>
          </w:p>
        </w:tc>
        <w:tc>
          <w:tcPr>
            <w:tcW w:type="dxa" w:w="2000"/>
          </w:tcPr>
          <w:p>
            <w:r>
              <w:t xml:space="preserve">David Chen, CIO/CISO</w:t>
            </w:r>
          </w:p>
        </w:tc>
      </w:tr>
    </w:tbl>
    <w:p>
      <w:pPr>
        <w:spacing w:after="400"/>
      </w:pPr>
    </w:p>
    <w:p>
      <w:pPr>
        <w:spacing w:after="200"/>
      </w:pPr>
      <w:r>
        <w:t xml:space="preserve">1. Purpose and Scope</w:t>
      </w:r>
    </w:p>
    <w:p>
      <w:pPr>
        <w:spacing w:after="300"/>
      </w:pPr>
      <w:r>
        <w:t xml:space="preserve">The Business Continuity Plan (BCP) ensures that HorseInsure Pty Ltd can continue essential business operations during and after a significant disruption. This plan documents recovery strategies, resource requirements, and communication protocols for events affecting people, facilities, technology, or third parties.</w:t>
      </w:r>
    </w:p>
    <w:p>
      <w:pPr>
        <w:spacing w:after="200"/>
      </w:pPr>
      <w:r>
        <w:t xml:space="preserve">2. Activation Criteria and Decision Authority</w:t>
      </w:r>
    </w:p>
    <w:p>
      <w:pPr>
        <w:spacing w:after="100"/>
      </w:pPr>
      <w:r>
        <w:t xml:space="preserve">The BCP is activated when: (1) Complete loss of primary data centre for more than 4 hours; (2) Loss of access to primary business facilities affecting 50+ staff; (3) Widespread technology outage affecting claims or policy systems; (4) Natural disaster or force majeure event; (5) Pandemic or public health emergency affecting workforce availability.</w:t>
      </w:r>
    </w:p>
    <w:p>
      <w:pPr>
        <w:spacing w:after="300"/>
      </w:pPr>
      <w:r>
        <w:t xml:space="preserve">Activation Authority: David Chen (CIO/CISO), or Margaret Thornton (CEO) in absence.</w:t>
      </w:r>
    </w:p>
    <w:p>
      <w:pPr>
        <w:spacing w:after="200"/>
      </w:pPr>
      <w:r>
        <w:t xml:space="preserve">3. Emergency Response Team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4472C4" w:val="clear"/>
          </w:tcPr>
          <w:p>
            <w:r>
              <w:t xml:space="preserve">Role</w:t>
            </w:r>
          </w:p>
        </w:tc>
        <w:tc>
          <w:tcPr>
            <w:tcW w:type="dxa" w:w="2000"/>
            <w:shd w:fill="4472C4" w:val="clear"/>
          </w:tcPr>
          <w:p>
            <w:r>
              <w:t xml:space="preserve">Name</w:t>
            </w:r>
          </w:p>
        </w:tc>
        <w:tc>
          <w:tcPr>
            <w:tcW w:type="dxa" w:w="1800"/>
            <w:shd w:fill="4472C4" w:val="clear"/>
          </w:tcPr>
          <w:p>
            <w:r>
              <w:t xml:space="preserve">Primary Phone</w:t>
            </w:r>
          </w:p>
        </w:tc>
        <w:tc>
          <w:tcPr>
            <w:tcW w:type="dxa" w:w="2000"/>
            <w:shd w:fill="4472C4" w:val="clear"/>
          </w:tcPr>
          <w:p>
            <w:r>
              <w:t xml:space="preserve">Alternate Phone</w:t>
            </w:r>
          </w:p>
        </w:tc>
      </w:tr>
      <w:tr>
        <w:tc>
          <w:tcPr>
            <w:tcW w:type="dxa" w:w="1500"/>
          </w:tcPr>
          <w:p>
            <w:r>
              <w:t xml:space="preserve">Executive Sponsor</w:t>
            </w:r>
          </w:p>
        </w:tc>
        <w:tc>
          <w:tcPr>
            <w:tcW w:type="dxa" w:w="2000"/>
          </w:tcPr>
          <w:p>
            <w:r>
              <w:t xml:space="preserve">Margaret Thornton, CEO</w:t>
            </w:r>
          </w:p>
        </w:tc>
        <w:tc>
          <w:tcPr>
            <w:tcW w:type="dxa" w:w="1800"/>
          </w:tcPr>
          <w:p>
            <w:r>
              <w:t xml:space="preserve">+61 2 9999 0001</w:t>
            </w:r>
          </w:p>
        </w:tc>
        <w:tc>
          <w:tcPr>
            <w:tcW w:type="dxa" w:w="2000"/>
          </w:tcPr>
          <w:p>
            <w:r>
              <w:t xml:space="preserve">+61 412 555 001</w:t>
            </w:r>
          </w:p>
        </w:tc>
      </w:tr>
      <w:tr>
        <w:tc>
          <w:tcPr>
            <w:tcW w:type="dxa" w:w="1500"/>
          </w:tcPr>
          <w:p>
            <w:r>
              <w:t xml:space="preserve">BCP Coordinator</w:t>
            </w:r>
          </w:p>
        </w:tc>
        <w:tc>
          <w:tcPr>
            <w:tcW w:type="dxa" w:w="2000"/>
          </w:tcPr>
          <w:p>
            <w:r>
              <w:t xml:space="preserve">David Chen, CIO/CISO</w:t>
            </w:r>
          </w:p>
        </w:tc>
        <w:tc>
          <w:tcPr>
            <w:tcW w:type="dxa" w:w="1800"/>
          </w:tcPr>
          <w:p>
            <w:r>
              <w:t xml:space="preserve">+61 2 9999 0005</w:t>
            </w:r>
          </w:p>
        </w:tc>
        <w:tc>
          <w:tcPr>
            <w:tcW w:type="dxa" w:w="2000"/>
          </w:tcPr>
          <w:p>
            <w:r>
              <w:t xml:space="preserve">+61 412 555 005</w:t>
            </w:r>
          </w:p>
        </w:tc>
      </w:tr>
      <w:tr>
        <w:tc>
          <w:tcPr>
            <w:tcW w:type="dxa" w:w="1500"/>
          </w:tcPr>
          <w:p>
            <w:r>
              <w:t xml:space="preserve">IT Recovery Lead</w:t>
            </w:r>
          </w:p>
        </w:tc>
        <w:tc>
          <w:tcPr>
            <w:tcW w:type="dxa" w:w="2000"/>
          </w:tcPr>
          <w:p>
            <w:r>
              <w:t xml:space="preserve">Sarah Williams, Head of IT</w:t>
            </w:r>
          </w:p>
        </w:tc>
        <w:tc>
          <w:tcPr>
            <w:tcW w:type="dxa" w:w="1800"/>
          </w:tcPr>
          <w:p>
            <w:r>
              <w:t xml:space="preserve">+61 2 9999 0003</w:t>
            </w:r>
          </w:p>
        </w:tc>
        <w:tc>
          <w:tcPr>
            <w:tcW w:type="dxa" w:w="2000"/>
          </w:tcPr>
          <w:p>
            <w:r>
              <w:t xml:space="preserve">+61 412 555 003</w:t>
            </w:r>
          </w:p>
        </w:tc>
      </w:tr>
      <w:tr>
        <w:tc>
          <w:tcPr>
            <w:tcW w:type="dxa" w:w="1500"/>
          </w:tcPr>
          <w:p>
            <w:r>
              <w:t xml:space="preserve">Operations Recovery</w:t>
            </w:r>
          </w:p>
        </w:tc>
        <w:tc>
          <w:tcPr>
            <w:tcW w:type="dxa" w:w="2000"/>
          </w:tcPr>
          <w:p>
            <w:r>
              <w:t xml:space="preserve">Tom Bradley, Facilities Manager</w:t>
            </w:r>
          </w:p>
        </w:tc>
        <w:tc>
          <w:tcPr>
            <w:tcW w:type="dxa" w:w="1800"/>
          </w:tcPr>
          <w:p>
            <w:r>
              <w:t xml:space="preserve">+61 2 9999 0010</w:t>
            </w:r>
          </w:p>
        </w:tc>
        <w:tc>
          <w:tcPr>
            <w:tcW w:type="dxa" w:w="2000"/>
          </w:tcPr>
          <w:p>
            <w:r>
              <w:t xml:space="preserve">+61 412 555 010</w:t>
            </w:r>
          </w:p>
        </w:tc>
      </w:tr>
      <w:tr>
        <w:tc>
          <w:tcPr>
            <w:tcW w:type="dxa" w:w="1500"/>
          </w:tcPr>
          <w:p>
            <w:r>
              <w:t xml:space="preserve">Communications Lead</w:t>
            </w:r>
          </w:p>
        </w:tc>
        <w:tc>
          <w:tcPr>
            <w:tcW w:type="dxa" w:w="2000"/>
          </w:tcPr>
          <w:p>
            <w:r>
              <w:t xml:space="preserve">Angela Torres, Compliance Manager</w:t>
            </w:r>
          </w:p>
        </w:tc>
        <w:tc>
          <w:tcPr>
            <w:tcW w:type="dxa" w:w="1800"/>
          </w:tcPr>
          <w:p>
            <w:r>
              <w:t xml:space="preserve">+61 2 9999 0007</w:t>
            </w:r>
          </w:p>
        </w:tc>
        <w:tc>
          <w:tcPr>
            <w:tcW w:type="dxa" w:w="2000"/>
          </w:tcPr>
          <w:p>
            <w:r>
              <w:t xml:space="preserve">+61 412 555 007</w:t>
            </w:r>
          </w:p>
        </w:tc>
      </w:tr>
    </w:tbl>
    <w:p>
      <w:pPr>
        <w:spacing w:before="400"/>
      </w:pPr>
    </w:p>
    <w:p>
      <w:pPr>
        <w:spacing w:after="200"/>
      </w:pPr>
      <w:r>
        <w:t xml:space="preserve">4. Critical Business Functions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shd w:fill="4472C4" w:val="clear"/>
          </w:tcPr>
          <w:p>
            <w:r>
              <w:t xml:space="preserve">Function</w:t>
            </w:r>
          </w:p>
        </w:tc>
        <w:tc>
          <w:tcPr>
            <w:tcW w:type="dxa" w:w="1200"/>
            <w:shd w:fill="4472C4" w:val="clear"/>
          </w:tcPr>
          <w:p>
            <w:r>
              <w:t xml:space="preserve">Primary System</w:t>
            </w:r>
          </w:p>
        </w:tc>
        <w:tc>
          <w:tcPr>
            <w:tcW w:type="dxa" w:w="800"/>
            <w:shd w:fill="4472C4" w:val="clear"/>
          </w:tcPr>
          <w:p>
            <w:pPr>
              <w:jc w:val="center"/>
            </w:pPr>
            <w:r>
              <w:t xml:space="preserve">RTO</w:t>
            </w:r>
          </w:p>
        </w:tc>
        <w:tc>
          <w:tcPr>
            <w:tcW w:type="dxa" w:w="800"/>
            <w:shd w:fill="4472C4" w:val="clear"/>
          </w:tcPr>
          <w:p>
            <w:pPr>
              <w:jc w:val="center"/>
            </w:pPr>
            <w:r>
              <w:t xml:space="preserve">RPO</w:t>
            </w:r>
          </w:p>
        </w:tc>
        <w:tc>
          <w:tcPr>
            <w:tcW w:type="dxa" w:w="600"/>
            <w:shd w:fill="4472C4" w:val="clear"/>
          </w:tcPr>
          <w:p>
            <w:pPr>
              <w:jc w:val="center"/>
            </w:pPr>
            <w:r>
              <w:t xml:space="preserve">Priority</w:t>
            </w:r>
          </w:p>
        </w:tc>
        <w:tc>
          <w:tcPr>
            <w:tcW w:type="dxa" w:w="1500"/>
            <w:shd w:fill="4472C4" w:val="clear"/>
          </w:tcPr>
          <w:p>
            <w:r>
              <w:t xml:space="preserve">Recovery Site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 xml:space="preserve">Claims Processing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>EquiClaim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t xml:space="preserve">4 hrs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t xml:space="preserve">1 hr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t xml:space="preserve">CloudStable DR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 xml:space="preserve">Policy Administration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>EquiPolicy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t xml:space="preserve">4 hrs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t xml:space="preserve">1 hr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t xml:space="preserve">CloudStable DR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 xml:space="preserve">Underwriting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>EquiQuote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t xml:space="preserve">8 hrs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t xml:space="preserve">4 hrs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t xml:space="preserve">Azure paired region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 xml:space="preserve">Finance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>SAP Finance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t xml:space="preserve">24 hrs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t xml:space="preserve">4 hrs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t xml:space="preserve">Azure DR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 xml:space="preserve">Email/Comms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>Microsoft 365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t xml:space="preserve">1 hr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t xml:space="preserve">Microsoft SLA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 xml:space="preserve">Customer Portal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 xml:space="preserve">Salesforce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t xml:space="preserve">8 hrs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t xml:space="preserve">Salesforce SLA</w:t>
            </w:r>
          </w:p>
        </w:tc>
      </w:tr>
    </w:tbl>
    <w:p>
      <w:pPr>
        <w:spacing w:before="400"/>
      </w:pPr>
    </w:p>
    <w:p>
      <w:pPr>
        <w:spacing w:after="200"/>
      </w:pPr>
      <w:r>
        <w:t xml:space="preserve">5. Scenario-Specific Response Plans</w:t>
      </w:r>
    </w:p>
    <w:p>
      <w:pPr>
        <w:spacing w:after="150"/>
      </w:pPr>
      <w:r>
        <w:t xml:space="preserve">Sydney Office Inaccessible: Activate remote working via VPN and Microsoft 365. Shift operations to Dubbo and Scone as capacity permits.</w:t>
      </w:r>
    </w:p>
    <w:p>
      <w:pPr>
        <w:spacing w:after="150"/>
      </w:pPr>
      <w:r>
        <w:t xml:space="preserve">Major IT Outage: Initiate failover to designated disaster recovery sites. Activate manual claim processing procedures and offline queuing.</w:t>
      </w:r>
    </w:p>
    <w:p>
      <w:pPr>
        <w:spacing w:after="150"/>
      </w:pPr>
      <w:r>
        <w:t xml:space="preserve">Pandemic/Health Emergency: Transition to 100% remote work with VPN and collaboration tools enabled. Prioritise critical claims and policy functions only.</w:t>
      </w:r>
    </w:p>
    <w:p>
      <w:pPr>
        <w:spacing w:after="300"/>
      </w:pPr>
      <w:r>
        <w:t xml:space="preserve">Data Centre Failure: Activate geo-redundant failover. Restore from last known good backups. Perform system integrity checks before returning to production.</w:t>
      </w:r>
    </w:p>
    <w:p>
      <w:pPr>
        <w:spacing w:after="200"/>
      </w:pPr>
      <w:r>
        <w:t xml:space="preserve">6. Testing and Assurance</w:t>
      </w:r>
    </w:p>
    <w:p>
      <w:pPr>
        <w:spacing w:after="150"/>
      </w:pPr>
      <w:r>
        <w:t xml:space="preserve">Testing Schedule: Annual full recovery test (September), Quarterly tabletop exercises, Monthly technical component testing.</w:t>
      </w:r>
    </w:p>
    <w:p>
      <w:pPr>
        <w:spacing w:after="200"/>
      </w:pPr>
      <w:r>
        <w:t xml:space="preserve">Last Full Test: April 2024 (tabletop exercise with 8 staff). No tests conducted since. Full recovery exercise not performed in 18+ months and is significantly overdue.</w:t>
      </w:r>
    </w:p>
    <w:p>
      <w:pPr>
        <w:spacing w:after="100"/>
      </w:pPr>
      <w:r>
        <w:t xml:space="preserve">Plan owner: David Chen, CIO/CISO. Approval authority: Margaret Thornton, CEO. Plan requires quarterly review and annual comprehensive update.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2026-02-15T07:47:02.574Z</dcterms:created>
  <dcterms:modified xsi:type="dcterms:W3CDTF">2026-02-15T07:47:02.574Z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