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t xml:space="preserve">HORSEINSURE PTY LTD</w:t>
      </w:r>
    </w:p>
    <w:p>
      <w:pPr>
        <w:jc w:val="center"/>
      </w:pPr>
      <w:r>
        <w:t xml:space="preserve">Security Awareness Training Procedure</w:t>
      </w:r>
    </w:p>
    <w:p>
      <w:pPr>
        <w:jc w:val="center"/>
      </w:pPr>
      <w:r>
        <w:t xml:space="preserve">PRO-005 v1.2</w:t>
      </w:r>
    </w:p>
    <w:p>
      <w:r>
        <w:t xml:space="preserve"/>
      </w:r>
    </w:p>
    <w:p>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CCCCCC" w:val="clear"/>
          </w:tcPr>
          <w:p>
            <w:r>
              <w:t xml:space="preserve">Document Name</w:t>
            </w:r>
          </w:p>
        </w:tc>
        <w:tc>
          <w:tcPr>
            <w:tcW w:type="dxa" w:w="4000"/>
            <w:shd w:fill="CCCCCC" w:val="clear"/>
          </w:tcPr>
          <w:p>
            <w:r>
              <w:t xml:space="preserve">Security Awareness Training Procedure</w:t>
            </w:r>
          </w:p>
        </w:tc>
      </w:tr>
      <w:tr>
        <w:tc>
          <w:tcPr>
            <w:tcW w:type="dxa" w:w="2000"/>
          </w:tcPr>
          <w:p>
            <w:r>
              <w:t xml:space="preserve">Document Number</w:t>
            </w:r>
          </w:p>
        </w:tc>
        <w:tc>
          <w:tcPr>
            <w:tcW w:type="dxa" w:w="4000"/>
          </w:tcPr>
          <w:p>
            <w:r>
              <w:t xml:space="preserve">PRO-005</w:t>
            </w:r>
          </w:p>
        </w:tc>
      </w:tr>
      <w:tr>
        <w:tc>
          <w:tcPr>
            <w:tcW w:type="dxa" w:w="2000"/>
            <w:shd w:fill="CCCCCC" w:val="clear"/>
          </w:tcPr>
          <w:p>
            <w:r>
              <w:t xml:space="preserve">Version</w:t>
            </w:r>
          </w:p>
        </w:tc>
        <w:tc>
          <w:tcPr>
            <w:tcW w:type="dxa" w:w="4000"/>
            <w:shd w:fill="CCCCCC" w:val="clear"/>
          </w:tcPr>
          <w:p>
            <w:r>
              <w:t xml:space="preserve">1.2</w:t>
            </w:r>
          </w:p>
        </w:tc>
      </w:tr>
      <w:tr>
        <w:tc>
          <w:tcPr>
            <w:tcW w:type="dxa" w:w="2000"/>
          </w:tcPr>
          <w:p>
            <w:r>
              <w:t xml:space="preserve">Date Approved</w:t>
            </w:r>
          </w:p>
        </w:tc>
        <w:tc>
          <w:tcPr>
            <w:tcW w:type="dxa" w:w="4000"/>
          </w:tcPr>
          <w:p>
            <w:r>
              <w:t xml:space="preserve">1 February 2025</w:t>
            </w:r>
          </w:p>
        </w:tc>
      </w:tr>
      <w:tr>
        <w:tc>
          <w:tcPr>
            <w:tcW w:type="dxa" w:w="2000"/>
            <w:shd w:fill="CCCCCC" w:val="clear"/>
          </w:tcPr>
          <w:p>
            <w:r>
              <w:t xml:space="preserve">Next Review Date</w:t>
            </w:r>
          </w:p>
        </w:tc>
        <w:tc>
          <w:tcPr>
            <w:tcW w:type="dxa" w:w="4000"/>
            <w:shd w:fill="CCCCCC" w:val="clear"/>
          </w:tcPr>
          <w:p>
            <w:r>
              <w:t xml:space="preserve">1 February 2026</w:t>
            </w:r>
          </w:p>
        </w:tc>
      </w:tr>
      <w:tr>
        <w:tc>
          <w:tcPr>
            <w:tcW w:type="dxa" w:w="2000"/>
          </w:tcPr>
          <w:p>
            <w:r>
              <w:t xml:space="preserve">Owner</w:t>
            </w:r>
          </w:p>
        </w:tc>
        <w:tc>
          <w:tcPr>
            <w:tcW w:type="dxa" w:w="4000"/>
          </w:tcPr>
          <w:p>
            <w:r>
              <w:t xml:space="preserve">James O'Brien (Head of HR)</w:t>
            </w:r>
          </w:p>
        </w:tc>
      </w:tr>
      <w:tr>
        <w:tc>
          <w:tcPr>
            <w:tcW w:type="dxa" w:w="2000"/>
            <w:shd w:fill="CCCCCC" w:val="clear"/>
          </w:tcPr>
          <w:p>
            <w:r>
              <w:t xml:space="preserve">Approved By</w:t>
            </w:r>
          </w:p>
        </w:tc>
        <w:tc>
          <w:tcPr>
            <w:tcW w:type="dxa" w:w="4000"/>
            <w:shd w:fill="CCCCCC" w:val="clear"/>
          </w:tcPr>
          <w:p>
            <w:r>
              <w:t xml:space="preserve">David Chen (CIO/CISO)</w:t>
            </w:r>
          </w:p>
        </w:tc>
      </w:tr>
    </w:tbl>
    <w:p>
      <w:r>
        <w:t xml:space="preserve"/>
      </w:r>
    </w:p>
    <w:p>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CCCCCC" w:val="clear"/>
          </w:tcPr>
          <w:p>
            <w:r>
              <w:t xml:space="preserve">Version</w:t>
            </w:r>
          </w:p>
        </w:tc>
        <w:tc>
          <w:tcPr>
            <w:tcW w:type="dxa" w:w="1500"/>
            <w:shd w:fill="CCCCCC" w:val="clear"/>
          </w:tcPr>
          <w:p>
            <w:r>
              <w:t xml:space="preserve">Date</w:t>
            </w:r>
          </w:p>
        </w:tc>
        <w:tc>
          <w:tcPr>
            <w:tcW w:type="dxa" w:w="3500"/>
            <w:shd w:fill="CCCCCC" w:val="clear"/>
          </w:tcPr>
          <w:p>
            <w:r>
              <w:t xml:space="preserve">Changes</w:t>
            </w:r>
          </w:p>
        </w:tc>
      </w:tr>
      <w:tr>
        <w:tc>
          <w:tcPr>
            <w:tcW w:type="dxa" w:w="1000"/>
          </w:tcPr>
          <w:p>
            <w:r>
              <w:t xml:space="preserve">1.2</w:t>
            </w:r>
          </w:p>
        </w:tc>
        <w:tc>
          <w:tcPr>
            <w:tcW w:type="dxa" w:w="1500"/>
          </w:tcPr>
          <w:p>
            <w:r>
              <w:t xml:space="preserve">01 Feb 2025</w:t>
            </w:r>
          </w:p>
        </w:tc>
        <w:tc>
          <w:tcPr>
            <w:tcW w:type="dxa" w:w="3500"/>
          </w:tcPr>
          <w:p>
            <w:r>
              <w:t xml:space="preserve">Enhanced phishing simulation program with monthly campaigns</w:t>
            </w:r>
          </w:p>
        </w:tc>
      </w:tr>
      <w:tr>
        <w:tc>
          <w:tcPr>
            <w:tcW w:type="dxa" w:w="1000"/>
          </w:tcPr>
          <w:p>
            <w:r>
              <w:t xml:space="preserve">1.1</w:t>
            </w:r>
          </w:p>
        </w:tc>
        <w:tc>
          <w:tcPr>
            <w:tcW w:type="dxa" w:w="1500"/>
          </w:tcPr>
          <w:p>
            <w:r>
              <w:t xml:space="preserve">15 Aug 2024</w:t>
            </w:r>
          </w:p>
        </w:tc>
        <w:tc>
          <w:tcPr>
            <w:tcW w:type="dxa" w:w="3500"/>
          </w:tcPr>
          <w:p>
            <w:r>
              <w:t xml:space="preserve">Added mobile security and BYOD awareness content</w:t>
            </w:r>
          </w:p>
        </w:tc>
      </w:tr>
      <w:tr>
        <w:tc>
          <w:tcPr>
            <w:tcW w:type="dxa" w:w="1000"/>
          </w:tcPr>
          <w:p>
            <w:r>
              <w:t xml:space="preserve">1.0</w:t>
            </w:r>
          </w:p>
        </w:tc>
        <w:tc>
          <w:tcPr>
            <w:tcW w:type="dxa" w:w="1500"/>
          </w:tcPr>
          <w:p>
            <w:r>
              <w:t xml:space="preserve">02 Mar 2024</w:t>
            </w:r>
          </w:p>
        </w:tc>
        <w:tc>
          <w:tcPr>
            <w:tcW w:type="dxa" w:w="3500"/>
          </w:tcPr>
          <w:p>
            <w:r>
              <w:t xml:space="preserve">Initial document creation</w:t>
            </w:r>
          </w:p>
        </w:tc>
      </w:tr>
    </w:tbl>
    <w:p>
      <w:r>
        <w:t xml:space="preserve"/>
      </w:r>
    </w:p>
    <w:p>
      <w:r>
        <w:t xml:space="preserve">1. PURPOSE</w:t>
      </w:r>
    </w:p>
    <w:p>
      <w:r>
        <w:t xml:space="preserve">This procedure establishes the security awareness training program for HorseInsure Pty Ltd. It defines training requirements for all employees, contractors, and third-party users to develop a culture of security and reduce the risk of human error leading to security incidents.</w:t>
      </w:r>
    </w:p>
    <w:p>
      <w:r>
        <w:t xml:space="preserve">2. SCOPE</w:t>
      </w:r>
    </w:p>
    <w:p>
      <w:r>
        <w:t xml:space="preserve">This procedure applies to all HorseInsure employees, contractors, and third-party users with access to company systems and data.</w:t>
      </w:r>
    </w:p>
    <w:p>
      <w:r>
        <w:t xml:space="preserve">3. TRAINING REQUIREMENTS</w:t>
      </w:r>
    </w:p>
    <w:p>
      <w:r>
        <w:t xml:space="preserve">All new employees must complete induction security training within their first day, covering:</w:t>
      </w:r>
    </w:p>
    <w:p>
      <w:r>
        <w:t xml:space="preserve">Information security policy overview</w:t>
      </w:r>
    </w:p>
    <w:p>
      <w:r>
        <w:t xml:space="preserve">Acceptable use policy and consequences</w:t>
      </w:r>
    </w:p>
    <w:p>
      <w:r>
        <w:t xml:space="preserve">Password management and MFA setup</w:t>
      </w:r>
    </w:p>
    <w:p>
      <w:r>
        <w:t xml:space="preserve">Phishing recognition and reporting</w:t>
      </w:r>
    </w:p>
    <w:p>
      <w:r>
        <w:t xml:space="preserve">Data protection for customer information</w:t>
      </w:r>
    </w:p>
    <w:p>
      <w:r>
        <w:t xml:space="preserve">Clean desk policy and physical security</w:t>
      </w:r>
    </w:p>
    <w:p>
      <w:r>
        <w:t xml:space="preserve">Incident reporting procedures</w:t>
      </w:r>
    </w:p>
    <w:p>
      <w:r>
        <w:t xml:space="preserve">Annual refresher training is mandatory for all staff, covering policy updates and emerging threats. Training must be completed during employment anniversary month.</w:t>
      </w:r>
    </w:p>
    <w:p>
      <w:r>
        <w:t xml:space="preserve">4. PHISHING SIMULATION PROGRAM</w:t>
      </w:r>
    </w:p>
    <w:p>
      <w:r>
        <w:t xml:space="preserve">HorseInsure conducts monthly phishing simulations to test employee awareness:</w:t>
      </w:r>
    </w:p>
    <w:p>
      <w:r>
        <w:t xml:space="preserve">Simulated phishing emails sent monthly to all staff mimicking real attacks</w:t>
      </w:r>
    </w:p>
    <w:p>
      <w:r>
        <w:t xml:space="preserve">Employees who click malicious links redirected to training</w:t>
      </w:r>
    </w:p>
    <w:p>
      <w:r>
        <w:t xml:space="preserve">Click rates and credential submissions tracked and reported</w:t>
      </w:r>
    </w:p>
    <w:p>
      <w:r>
        <w:t xml:space="preserve">Target: less than 5% of staff falling for phishing by year-end</w:t>
      </w:r>
    </w:p>
    <w:p>
      <w:r>
        <w:t xml:space="preserve">Employees encouraged to report suspicious emails to security@horseinsure.com.au. Those who report genuine phishing receive recognition.</w:t>
      </w:r>
    </w:p>
    <w:p>
      <w:r>
        <w:t xml:space="preserve">5. ROLE-BASED TRAINING</w:t>
      </w:r>
    </w:p>
    <w:p>
      <w:r>
        <w:t xml:space="preserve">System administrators and IT staff receive annual training on secure practices, access control, and incident response. Claims and underwriting staff receive data protection training. Finance staff receive fraud prevention and financial data security training.</w:t>
      </w:r>
    </w:p>
    <w:p>
      <w:r>
        <w:t xml:space="preserve">6. DELIVERY METHODS</w:t>
      </w:r>
    </w:p>
    <w:p>
      <w:r>
        <w:t xml:space="preserve">In-person training at Sydney CBD office (with remote option via Zoom) for inductions and quarterly workshops. Online learning via LMS for annual refresher training. Written materials including posters, security bulletins, and quick reference guides distributed across all locations.</w:t>
      </w:r>
    </w:p>
    <w:p>
      <w:r>
        <w:t xml:space="preserve">7. TRAINING CONTENT TOPICS</w:t>
      </w:r>
    </w:p>
    <w:p>
      <w:r>
        <w:t xml:space="preserve">Core topics include password security, MFA, phishing recognition, customer data protection, safe internet usage, mobile device security, incident reporting, physical security, document disposal, policy compliance, and third-party security.</w:t>
      </w:r>
    </w:p>
    <w:p>
      <w:r>
        <w:t xml:space="preserve">8. COMPLIANCE AND TRACKING</w:t>
      </w:r>
    </w:p>
    <w:p>
      <w:r>
        <w:t xml:space="preserve">Training completion is mandatory and tracked through the LMS. Completion records maintained for 7 years. Managers notified of staff who fail to complete training. Non-completion after reminders escalated to HR for disciplinary action. Phishing simulation results presented to board quarterly.</w:t>
      </w:r>
    </w:p>
    <w:p>
      <w:r>
        <w:t xml:space="preserve">9. EFFECTIVENESS METRICS</w:t>
      </w:r>
    </w:p>
    <w:p>
      <w:r>
        <w:t xml:space="preserve">Training completion rate and phishing click rate are primary metrics. Credential submission rate, phishing reporting rate, and security incident rate are tracked. Metrics reviewed quarterly by CIO/CISO and reported annually to CEO and board.</w:t>
      </w:r>
    </w:p>
    <w:p>
      <w:pPr>
        <w:jc w:val="center"/>
      </w:pPr>
      <w:r>
        <w:t xml:space="preserve">Page 1 of 3</w:t>
      </w:r>
    </w:p>
    <w:p/>
    <w:p>
      <w:r>
        <w:t xml:space="preserve">10. THIRD-PARTY TRAINING</w:t>
      </w:r>
    </w:p>
    <w:p>
      <w:r>
        <w:t xml:space="preserve">Contractors and third-party service providers with system access must complete security induction training. Training focuses on applicable policies and compliance requirements. Certification of completion obtained before access granted.</w:t>
      </w:r>
    </w:p>
    <w:p>
      <w:r>
        <w:t xml:space="preserve">11. TRAINING EFFECTIVENESS</w:t>
      </w:r>
    </w:p>
    <w:p>
      <w:r>
        <w:t xml:space="preserve">Training programs are assessed quarterly for effectiveness. Phishing simulation results analysed to identify high-risk staff and departments. Feedback from participants incorporated into content updates. Annual review of program effectiveness presented to executive leadership.</w:t>
      </w:r>
    </w:p>
    <w:p>
      <w:r>
        <w:t xml:space="preserve">12. ROLES AND RESPONSIBILITIES</w:t>
      </w:r>
    </w:p>
    <w:p>
      <w:r>
        <w:t xml:space="preserve">Head of HR (James O'Brien:</w:t>
      </w:r>
    </w:p>
    <w:p>
      <w:r>
        <w:t xml:space="preserve">Overall responsibility for training program. Induction training delivery. Tracking compliance. Escalation for non-completion.</w:t>
      </w:r>
    </w:p>
    <w:p>
      <w:r>
        <w:t xml:space="preserve">CIO/CISO (David Chen):</w:t>
      </w:r>
    </w:p>
    <w:p>
      <w:r>
        <w:t xml:space="preserve">Content oversight and approval. Phishing program execution. Metrics review.</w:t>
      </w:r>
    </w:p>
    <w:p>
      <w:r>
        <w:t xml:space="preserve">IT Security Analyst (Marcus Lee):</w:t>
      </w:r>
    </w:p>
    <w:p>
      <w:r>
        <w:t xml:space="preserve">Technical training delivery. Phishing execution and analysis. LMS administration.</w:t>
      </w:r>
    </w:p>
    <w:p>
      <w:r>
        <w:t xml:space="preserve">13. RELATED DOCUMENTS</w:t>
      </w:r>
    </w:p>
    <w:p>
      <w:r>
        <w:t xml:space="preserve">Information Security Policy</w:t>
      </w:r>
    </w:p>
    <w:p>
      <w:r>
        <w:t xml:space="preserve">Acceptable Use Policy</w:t>
      </w:r>
    </w:p>
    <w:p>
      <w:r>
        <w:t xml:space="preserve">PRO-001 User Access Management Procedure</w:t>
      </w:r>
    </w:p>
    <w:p>
      <w:r>
        <w:t xml:space="preserve">PRO-002 Incident Response Procedure</w:t>
      </w:r>
    </w:p>
    <w:p>
      <w:r>
        <w:t xml:space="preserve">Data Protection and Privacy Policy</w:t>
      </w:r>
    </w:p>
    <w:p>
      <w:r>
        <w:t xml:space="preserve">DOCUMENT APPROVAL</w:t>
      </w:r>
    </w:p>
    <w:p>
      <w:r>
        <w:t xml:space="preserve"/>
      </w:r>
    </w:p>
    <w:p>
      <w:r>
        <w:t xml:space="preserve">James O'Brien</w:t>
      </w:r>
    </w:p>
    <w:p>
      <w:r>
        <w:t xml:space="preserve">Head of HR</w:t>
      </w:r>
    </w:p>
    <w:p>
      <w:r>
        <w:t xml:space="preserve">Document Owner</w:t>
      </w:r>
    </w:p>
    <w:p>
      <w:r>
        <w:t xml:space="preserve"/>
      </w:r>
    </w:p>
    <w:p>
      <w:r>
        <w:t xml:space="preserve">David Chen</w:t>
      </w:r>
    </w:p>
    <w:p>
      <w:r>
        <w:t xml:space="preserve">CIO/CISO</w:t>
      </w:r>
    </w:p>
    <w:p>
      <w:r>
        <w:t xml:space="preserve">Approved 1 February 2025</w:t>
      </w:r>
    </w:p>
    <w:p>
      <w:r>
        <w:t xml:space="preserve"/>
      </w:r>
    </w:p>
    <w:p>
      <w:pPr>
        <w:jc w:val="center"/>
      </w:pPr>
      <w:r>
        <w:t xml:space="preserve">Page 2 of 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2026-02-15T07:33:35.675Z</dcterms:created>
  <dcterms:modified xsi:type="dcterms:W3CDTF">2026-02-15T07:33:35.675Z</dcterms:modified>
</cp:coreProperties>
</file>

<file path=docProps/custom.xml><?xml version="1.0" encoding="utf-8"?>
<Properties xmlns="http://schemas.openxmlformats.org/officeDocument/2006/custom-properties" xmlns:vt="http://schemas.openxmlformats.org/officeDocument/2006/docPropsVTypes"/>
</file>