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t xml:space="preserve">HORSEINSURE PTY LTD</w:t>
      </w:r>
    </w:p>
    <w:p>
      <w:pPr>
        <w:jc w:val="center"/>
      </w:pPr>
      <w:r>
        <w:t xml:space="preserve">Risk Assessment Procedure</w:t>
      </w:r>
    </w:p>
    <w:p>
      <w:pPr>
        <w:jc w:val="center"/>
      </w:pPr>
      <w:r>
        <w:t xml:space="preserve">PRO-008 v1.4</w:t>
      </w:r>
    </w:p>
    <w:p>
      <w:r>
        <w:t xml:space="preserve"/>
      </w:r>
    </w:p>
    <w:p>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CCCCCC" w:val="clear"/>
          </w:tcPr>
          <w:p>
            <w:r>
              <w:t xml:space="preserve">Document Name</w:t>
            </w:r>
          </w:p>
        </w:tc>
        <w:tc>
          <w:tcPr>
            <w:tcW w:type="dxa" w:w="4000"/>
            <w:shd w:fill="CCCCCC" w:val="clear"/>
          </w:tcPr>
          <w:p>
            <w:r>
              <w:t xml:space="preserve">Risk Assessment Procedure</w:t>
            </w:r>
          </w:p>
        </w:tc>
      </w:tr>
      <w:tr>
        <w:tc>
          <w:tcPr>
            <w:tcW w:type="dxa" w:w="2000"/>
          </w:tcPr>
          <w:p>
            <w:r>
              <w:t xml:space="preserve">Document Number</w:t>
            </w:r>
          </w:p>
        </w:tc>
        <w:tc>
          <w:tcPr>
            <w:tcW w:type="dxa" w:w="4000"/>
          </w:tcPr>
          <w:p>
            <w:r>
              <w:t xml:space="preserve">PRO-008</w:t>
            </w:r>
          </w:p>
        </w:tc>
      </w:tr>
      <w:tr>
        <w:tc>
          <w:tcPr>
            <w:tcW w:type="dxa" w:w="2000"/>
            <w:shd w:fill="CCCCCC" w:val="clear"/>
          </w:tcPr>
          <w:p>
            <w:r>
              <w:t xml:space="preserve">Version</w:t>
            </w:r>
          </w:p>
        </w:tc>
        <w:tc>
          <w:tcPr>
            <w:tcW w:type="dxa" w:w="4000"/>
            <w:shd w:fill="CCCCCC" w:val="clear"/>
          </w:tcPr>
          <w:p>
            <w:r>
              <w:t xml:space="preserve">1.4</w:t>
            </w:r>
          </w:p>
        </w:tc>
      </w:tr>
      <w:tr>
        <w:tc>
          <w:tcPr>
            <w:tcW w:type="dxa" w:w="2000"/>
          </w:tcPr>
          <w:p>
            <w:r>
              <w:t xml:space="preserve">Date Approved</w:t>
            </w:r>
          </w:p>
        </w:tc>
        <w:tc>
          <w:tcPr>
            <w:tcW w:type="dxa" w:w="4000"/>
          </w:tcPr>
          <w:p>
            <w:r>
              <w:t xml:space="preserve">5 January 2025</w:t>
            </w:r>
          </w:p>
        </w:tc>
      </w:tr>
      <w:tr>
        <w:tc>
          <w:tcPr>
            <w:tcW w:type="dxa" w:w="2000"/>
            <w:shd w:fill="CCCCCC" w:val="clear"/>
          </w:tcPr>
          <w:p>
            <w:r>
              <w:t xml:space="preserve">Next Review Date</w:t>
            </w:r>
          </w:p>
        </w:tc>
        <w:tc>
          <w:tcPr>
            <w:tcW w:type="dxa" w:w="4000"/>
            <w:shd w:fill="CCCCCC" w:val="clear"/>
          </w:tcPr>
          <w:p>
            <w:r>
              <w:t xml:space="preserve">5 January 2026</w:t>
            </w:r>
          </w:p>
        </w:tc>
      </w:tr>
      <w:tr>
        <w:tc>
          <w:tcPr>
            <w:tcW w:type="dxa" w:w="2000"/>
          </w:tcPr>
          <w:p>
            <w:r>
              <w:t xml:space="preserve">Owner</w:t>
            </w:r>
          </w:p>
        </w:tc>
        <w:tc>
          <w:tcPr>
            <w:tcW w:type="dxa" w:w="4000"/>
          </w:tcPr>
          <w:p>
            <w:r>
              <w:t xml:space="preserve">Angela Torres (Compliance Manager)</w:t>
            </w:r>
          </w:p>
        </w:tc>
      </w:tr>
      <w:tr>
        <w:tc>
          <w:tcPr>
            <w:tcW w:type="dxa" w:w="2000"/>
            <w:shd w:fill="CCCCCC" w:val="clear"/>
          </w:tcPr>
          <w:p>
            <w:r>
              <w:t xml:space="preserve">Approved By</w:t>
            </w:r>
          </w:p>
        </w:tc>
        <w:tc>
          <w:tcPr>
            <w:tcW w:type="dxa" w:w="4000"/>
            <w:shd w:fill="CCCCCC" w:val="clear"/>
          </w:tcPr>
          <w:p>
            <w:r>
              <w:t xml:space="preserve">David Chen (CIO/CISO)</w:t>
            </w:r>
          </w:p>
        </w:tc>
      </w:tr>
    </w:tbl>
    <w:p>
      <w:r>
        <w:t xml:space="preserve"/>
      </w:r>
    </w:p>
    <w:p>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CCCCCC" w:val="clear"/>
          </w:tcPr>
          <w:p>
            <w:r>
              <w:t xml:space="preserve">Version</w:t>
            </w:r>
          </w:p>
        </w:tc>
        <w:tc>
          <w:tcPr>
            <w:tcW w:type="dxa" w:w="1500"/>
            <w:shd w:fill="CCCCCC" w:val="clear"/>
          </w:tcPr>
          <w:p>
            <w:r>
              <w:t xml:space="preserve">Date</w:t>
            </w:r>
          </w:p>
        </w:tc>
        <w:tc>
          <w:tcPr>
            <w:tcW w:type="dxa" w:w="3500"/>
            <w:shd w:fill="CCCCCC" w:val="clear"/>
          </w:tcPr>
          <w:p>
            <w:r>
              <w:t xml:space="preserve">Changes</w:t>
            </w:r>
          </w:p>
        </w:tc>
      </w:tr>
      <w:tr>
        <w:tc>
          <w:tcPr>
            <w:tcW w:type="dxa" w:w="1000"/>
          </w:tcPr>
          <w:p>
            <w:r>
              <w:t xml:space="preserve">1.4</w:t>
            </w:r>
          </w:p>
        </w:tc>
        <w:tc>
          <w:tcPr>
            <w:tcW w:type="dxa" w:w="1500"/>
          </w:tcPr>
          <w:p>
            <w:r>
              <w:t xml:space="preserve">05 Jan 2025</w:t>
            </w:r>
          </w:p>
        </w:tc>
        <w:tc>
          <w:tcPr>
            <w:tcW w:type="dxa" w:w="3500"/>
          </w:tcPr>
          <w:p>
            <w:r>
              <w:t xml:space="preserve">Updated risk tolerance thresholds and escalation procedures</w:t>
            </w:r>
          </w:p>
        </w:tc>
      </w:tr>
      <w:tr>
        <w:tc>
          <w:tcPr>
            <w:tcW w:type="dxa" w:w="1000"/>
          </w:tcPr>
          <w:p>
            <w:r>
              <w:t xml:space="preserve">1.3</w:t>
            </w:r>
          </w:p>
        </w:tc>
        <w:tc>
          <w:tcPr>
            <w:tcW w:type="dxa" w:w="1500"/>
          </w:tcPr>
          <w:p>
            <w:r>
              <w:t xml:space="preserve">22 Aug 2024</w:t>
            </w:r>
          </w:p>
        </w:tc>
        <w:tc>
          <w:tcPr>
            <w:tcW w:type="dxa" w:w="3500"/>
          </w:tcPr>
          <w:p>
            <w:r>
              <w:t xml:space="preserve">Clarified risk treatment planning methodology</w:t>
            </w:r>
          </w:p>
        </w:tc>
      </w:tr>
      <w:tr>
        <w:tc>
          <w:tcPr>
            <w:tcW w:type="dxa" w:w="1000"/>
          </w:tcPr>
          <w:p>
            <w:r>
              <w:t xml:space="preserve">1.0</w:t>
            </w:r>
          </w:p>
        </w:tc>
        <w:tc>
          <w:tcPr>
            <w:tcW w:type="dxa" w:w="1500"/>
          </w:tcPr>
          <w:p>
            <w:r>
              <w:t xml:space="preserve">14 Mar 2023</w:t>
            </w:r>
          </w:p>
        </w:tc>
        <w:tc>
          <w:tcPr>
            <w:tcW w:type="dxa" w:w="3500"/>
          </w:tcPr>
          <w:p>
            <w:r>
              <w:t xml:space="preserve">Initial document creation</w:t>
            </w:r>
          </w:p>
        </w:tc>
      </w:tr>
    </w:tbl>
    <w:p>
      <w:r>
        <w:t xml:space="preserve"/>
      </w:r>
    </w:p>
    <w:p>
      <w:r>
        <w:t xml:space="preserve">1. PURPOSE</w:t>
      </w:r>
    </w:p>
    <w:p>
      <w:r>
        <w:t xml:space="preserve">This procedure establishes the risk assessment framework for HorseInsure Pty Ltd to systematically identify, analyse, and evaluate risks to the organisation. The process enables informed decision-making regarding risk treatment and resource allocation.</w:t>
      </w:r>
    </w:p>
    <w:p>
      <w:r>
        <w:t xml:space="preserve">2. SCOPE</w:t>
      </w:r>
    </w:p>
    <w:p>
      <w:r>
        <w:t xml:space="preserve">This procedure applies to all organisational risks including strategic, operational, financial, compliance, and security risks. Assessments conducted for new initiatives, systems, significant process changes, and annually across all business areas.</w:t>
      </w:r>
    </w:p>
    <w:p>
      <w:r>
        <w:t xml:space="preserve">3. RISK IDENTIFICATION METHODS</w:t>
      </w:r>
    </w:p>
    <w:p>
      <w:r>
        <w:t xml:space="preserve">Multiple methods used to identify risks:</w:t>
      </w:r>
    </w:p>
    <w:p>
      <w:r>
        <w:t xml:space="preserve">Brainstorming sessions with relevant stakeholders</w:t>
      </w:r>
    </w:p>
    <w:p>
      <w:r>
        <w:t xml:space="preserve">Review of past incidents and near-misses</w:t>
      </w:r>
    </w:p>
    <w:p>
      <w:r>
        <w:t xml:space="preserve">External threat intelligence and industry reports</w:t>
      </w:r>
    </w:p>
    <w:p>
      <w:r>
        <w:t xml:space="preserve">Process walkthroughs and system architecture review</w:t>
      </w:r>
    </w:p>
    <w:p>
      <w:r>
        <w:t xml:space="preserve">Compliance audit findings and recommendations</w:t>
      </w:r>
    </w:p>
    <w:p>
      <w:r>
        <w:t xml:space="preserve">Interviews with business unit managers and process owners</w:t>
      </w:r>
    </w:p>
    <w:p>
      <w:r>
        <w:t xml:space="preserve">Regulatory requirement analysis</w:t>
      </w:r>
    </w:p>
    <w:p>
      <w:pPr>
        <w:jc w:val="center"/>
      </w:pPr>
      <w:r>
        <w:t xml:space="preserve">Page 1 of 5</w:t>
      </w:r>
    </w:p>
    <w:p/>
    <w:p>
      <w:r>
        <w:t xml:space="preserve">4. RISK ANALYSIS AND EVALUATION</w:t>
      </w:r>
    </w:p>
    <w:p>
      <w:r>
        <w:t xml:space="preserve">Identified risks evaluated using a 5x5 likelihood-impact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CCCCCC" w:val="clear"/>
          </w:tcPr>
          <w:p>
            <w:r>
              <w:t xml:space="preserve">Level</w:t>
            </w:r>
          </w:p>
        </w:tc>
        <w:tc>
          <w:tcPr>
            <w:tcW w:type="dxa" w:w="1500"/>
            <w:shd w:fill="CCCCCC" w:val="clear"/>
          </w:tcPr>
          <w:p>
            <w:r>
              <w:t xml:space="preserve">Likelihood</w:t>
            </w:r>
          </w:p>
        </w:tc>
        <w:tc>
          <w:tcPr>
            <w:tcW w:type="dxa" w:w="1500"/>
            <w:shd w:fill="CCCCCC" w:val="clear"/>
          </w:tcPr>
          <w:p>
            <w:r>
              <w:t xml:space="preserve">Impact</w:t>
            </w:r>
          </w:p>
        </w:tc>
        <w:tc>
          <w:tcPr>
            <w:tcW w:type="dxa" w:w="1000"/>
            <w:shd w:fill="CCCCCC" w:val="clear"/>
          </w:tcPr>
          <w:p>
            <w:r>
              <w:t xml:space="preserve">Score</w:t>
            </w:r>
          </w:p>
        </w:tc>
      </w:tr>
      <w:tr>
        <w:tc>
          <w:tcPr>
            <w:tcW w:type="dxa" w:w="1000"/>
          </w:tcPr>
          <w:p>
            <w:r>
              <w:t xml:space="preserve">5</w:t>
            </w:r>
          </w:p>
        </w:tc>
        <w:tc>
          <w:tcPr>
            <w:tcW w:type="dxa" w:w="1500"/>
          </w:tcPr>
          <w:p>
            <w:r>
              <w:t xml:space="preserve">Almost Certain</w:t>
            </w:r>
          </w:p>
        </w:tc>
        <w:tc>
          <w:tcPr>
            <w:tcW w:type="dxa" w:w="1500"/>
          </w:tcPr>
          <w:p>
            <w:r>
              <w:t xml:space="preserve">Catastrophic</w:t>
            </w:r>
          </w:p>
        </w:tc>
        <w:tc>
          <w:tcPr>
            <w:tcW w:type="dxa" w:w="1000"/>
          </w:tcPr>
          <w:p>
            <w:r>
              <w:t xml:space="preserve">Critical</w:t>
            </w:r>
          </w:p>
        </w:tc>
      </w:tr>
      <w:tr>
        <w:tc>
          <w:tcPr>
            <w:tcW w:type="dxa" w:w="1000"/>
          </w:tcPr>
          <w:p>
            <w:r>
              <w:t xml:space="preserve">4</w:t>
            </w:r>
          </w:p>
        </w:tc>
        <w:tc>
          <w:tcPr>
            <w:tcW w:type="dxa" w:w="1500"/>
          </w:tcPr>
          <w:p>
            <w:r>
              <w:t xml:space="preserve">Likely</w:t>
            </w:r>
          </w:p>
        </w:tc>
        <w:tc>
          <w:tcPr>
            <w:tcW w:type="dxa" w:w="1500"/>
          </w:tcPr>
          <w:p>
            <w:r>
              <w:t xml:space="preserve">Major</w:t>
            </w:r>
          </w:p>
        </w:tc>
        <w:tc>
          <w:tcPr>
            <w:tcW w:type="dxa" w:w="1000"/>
          </w:tcPr>
          <w:p>
            <w:r>
              <w:t xml:space="preserve">High</w:t>
            </w:r>
          </w:p>
        </w:tc>
      </w:tr>
      <w:tr>
        <w:tc>
          <w:tcPr>
            <w:tcW w:type="dxa" w:w="1000"/>
          </w:tcPr>
          <w:p>
            <w:r>
              <w:t xml:space="preserve">3</w:t>
            </w:r>
          </w:p>
        </w:tc>
        <w:tc>
          <w:tcPr>
            <w:tcW w:type="dxa" w:w="1500"/>
          </w:tcPr>
          <w:p>
            <w:r>
              <w:t xml:space="preserve">Moderate</w:t>
            </w:r>
          </w:p>
        </w:tc>
        <w:tc>
          <w:tcPr>
            <w:tcW w:type="dxa" w:w="1500"/>
          </w:tcPr>
          <w:p>
            <w:r>
              <w:t xml:space="preserve">Moderate</w:t>
            </w:r>
          </w:p>
        </w:tc>
        <w:tc>
          <w:tcPr>
            <w:tcW w:type="dxa" w:w="1000"/>
          </w:tcPr>
          <w:p>
            <w:r>
              <w:t xml:space="preserve">Medium</w:t>
            </w:r>
          </w:p>
        </w:tc>
      </w:tr>
      <w:tr>
        <w:tc>
          <w:tcPr>
            <w:tcW w:type="dxa" w:w="1000"/>
          </w:tcPr>
          <w:p>
            <w:r>
              <w:t xml:space="preserve">2</w:t>
            </w:r>
          </w:p>
        </w:tc>
        <w:tc>
          <w:tcPr>
            <w:tcW w:type="dxa" w:w="1500"/>
          </w:tcPr>
          <w:p>
            <w:r>
              <w:t xml:space="preserve">Unlikely</w:t>
            </w:r>
          </w:p>
        </w:tc>
        <w:tc>
          <w:tcPr>
            <w:tcW w:type="dxa" w:w="1500"/>
          </w:tcPr>
          <w:p>
            <w:r>
              <w:t xml:space="preserve">Minor</w:t>
            </w:r>
          </w:p>
        </w:tc>
        <w:tc>
          <w:tcPr>
            <w:tcW w:type="dxa" w:w="1000"/>
          </w:tcPr>
          <w:p>
            <w:r>
              <w:t xml:space="preserve">Low</w:t>
            </w:r>
          </w:p>
        </w:tc>
      </w:tr>
      <w:tr>
        <w:tc>
          <w:tcPr>
            <w:tcW w:type="dxa" w:w="1000"/>
          </w:tcPr>
          <w:p>
            <w:r>
              <w:t xml:space="preserve">1</w:t>
            </w:r>
          </w:p>
        </w:tc>
        <w:tc>
          <w:tcPr>
            <w:tcW w:type="dxa" w:w="1500"/>
          </w:tcPr>
          <w:p>
            <w:r>
              <w:t xml:space="preserve">Rare</w:t>
            </w:r>
          </w:p>
        </w:tc>
        <w:tc>
          <w:tcPr>
            <w:tcW w:type="dxa" w:w="1500"/>
          </w:tcPr>
          <w:p>
            <w:r>
              <w:t xml:space="preserve">Negligible</w:t>
            </w:r>
          </w:p>
        </w:tc>
        <w:tc>
          <w:tcPr>
            <w:tcW w:type="dxa" w:w="1000"/>
          </w:tcPr>
          <w:p>
            <w:r>
              <w:t xml:space="preserve">Minimal</w:t>
            </w:r>
          </w:p>
        </w:tc>
      </w:tr>
    </w:tbl>
    <w:p>
      <w:r>
        <w:t xml:space="preserve"/>
      </w:r>
    </w:p>
    <w:p>
      <w:r>
        <w:t xml:space="preserve">Risk score calculated by multiplying likelihood rating (1-5) and impact rating (1-5). Scores 15-25 (high risk) require active management. Scores 9-12 (medium risk) monitored and managed. Scores below 8 (low risk) tracked but require minimal intervention.</w:t>
      </w:r>
    </w:p>
    <w:p>
      <w:r>
        <w:t xml:space="preserve">5. RISK TREATMENT PLANNING</w:t>
      </w:r>
    </w:p>
    <w:p>
      <w:r>
        <w:t xml:space="preserve">High and medium risks require explicit treatment strategies:</w:t>
      </w:r>
    </w:p>
    <w:p>
      <w:r>
        <w:t xml:space="preserve">Risk Avoidance:</w:t>
      </w:r>
    </w:p>
    <w:p>
      <w:r>
        <w:t xml:space="preserve">Discontinue activity creating the risk (e.g., stop processing high-risk data).</w:t>
      </w:r>
    </w:p>
    <w:p>
      <w:r>
        <w:t xml:space="preserve">Risk Mitigation:</w:t>
      </w:r>
    </w:p>
    <w:p>
      <w:r>
        <w:t xml:space="preserve">Implement controls to reduce likelihood or impact (e.g., implement MFA to reduce unauthorised access risk).</w:t>
      </w:r>
    </w:p>
    <w:p>
      <w:r>
        <w:t xml:space="preserve">Risk Transfer:</w:t>
      </w:r>
    </w:p>
    <w:p>
      <w:r>
        <w:t xml:space="preserve">Transfer risk to third party (e.g., insurance for cyber breach liability).</w:t>
      </w:r>
    </w:p>
    <w:p>
      <w:r>
        <w:t xml:space="preserve">Risk Acceptance:</w:t>
      </w:r>
    </w:p>
    <w:p>
      <w:r>
        <w:t xml:space="preserve">Accept risk and monitor (requires executive approval for medium+ risks).</w:t>
      </w:r>
    </w:p>
    <w:p>
      <w:r>
        <w:t xml:space="preserve">6. RISK REGISTER MAINTENANCE</w:t>
      </w:r>
    </w:p>
    <w:p>
      <w:r>
        <w:t xml:space="preserve">All identified risks maintained in Risk Register with:</w:t>
      </w:r>
    </w:p>
    <w:p>
      <w:r>
        <w:t xml:space="preserve">Risk description and cause</w:t>
      </w:r>
    </w:p>
    <w:p>
      <w:r>
        <w:t xml:space="preserve">Risk owner and business area</w:t>
      </w:r>
    </w:p>
    <w:p>
      <w:r>
        <w:t xml:space="preserve">Current likelihood and impact assessment</w:t>
      </w:r>
    </w:p>
    <w:p>
      <w:r>
        <w:t xml:space="preserve">Risk treatment strategy selected</w:t>
      </w:r>
    </w:p>
    <w:p>
      <w:r>
        <w:t xml:space="preserve">Treatment owner and target completion date</w:t>
      </w:r>
    </w:p>
    <w:p>
      <w:r>
        <w:t xml:space="preserve">Status of treatment implementation</w:t>
      </w:r>
    </w:p>
    <w:p>
      <w:r>
        <w:t xml:space="preserve">Residual risk score after treatment</w:t>
      </w:r>
    </w:p>
    <w:p>
      <w:r>
        <w:t xml:space="preserve">Date last reviewed and next review date</w:t>
      </w:r>
    </w:p>
    <w:p>
      <w:r>
        <w:t xml:space="preserve">7. RISK REVIEW AND MONITORING</w:t>
      </w:r>
    </w:p>
    <w:p>
      <w:r>
        <w:t xml:space="preserve">Risk Register reviewed and updated quarterly by Compliance Manager. Business unit managers responsible for monitoring assigned risks and reporting status. Significant risk changes reported immediately to CIO/CISO. Annual comprehensive risk assessment performed by risk committee including CEO, CIO/CISO, Compliance Manager, and relevant business unit heads.</w:t>
      </w:r>
    </w:p>
    <w:p>
      <w:pPr>
        <w:jc w:val="center"/>
      </w:pPr>
      <w:r>
        <w:t xml:space="preserve">Page 2 of 5</w:t>
      </w:r>
    </w:p>
    <w:p/>
    <w:p>
      <w:r>
        <w:t xml:space="preserve">8. ESCALATION AND REPORTING</w:t>
      </w:r>
    </w:p>
    <w:p>
      <w:r>
        <w:t xml:space="preserve">High risks escalated to CEO and Board. Board receives quarterly risk summary highlighting new risks, critical risks, and risk trend analysis. Monthly risk briefings to executive management. Risk reports prepared for internal audit and board governance meetings.</w:t>
      </w:r>
    </w:p>
    <w:p>
      <w:r>
        <w:t xml:space="preserve">9. ROLES AND RESPONSIBILITIES</w:t>
      </w:r>
    </w:p>
    <w:p>
      <w:r>
        <w:t xml:space="preserve">CEO: Overall risk governance and oversight. CIO/CISO: Risk identification and escalation. Compliance Manager (Angela Torres): Risk register maintenance and quarterly reviews. Business Unit Managers: Risk identification in their areas and treatment implementation. All Staff: Risk awareness and reporting of emerging risks.</w:t>
      </w:r>
    </w:p>
    <w:p>
      <w:r>
        <w:t xml:space="preserve">10. SPECIAL RISKS: INFLATABLE HORSE PRODUCTS</w:t>
      </w:r>
    </w:p>
    <w:p>
      <w:r>
        <w:t xml:space="preserve">HorseInsure recognises unique risks from insuring blow-up/inflatable horses. Example risks assessed:</w:t>
      </w:r>
    </w:p>
    <w:p>
      <w:r>
        <w:t xml:space="preserve">Product liability risk - defective inflatable horses causing customer injury</w:t>
      </w:r>
    </w:p>
    <w:p>
      <w:r>
        <w:t xml:space="preserve">Unusual claims patterns and fraud risk (counterfeit inflatables)</w:t>
      </w:r>
    </w:p>
    <w:p>
      <w:r>
        <w:t xml:space="preserve">Regulatory risk regarding consumer product safety standards</w:t>
      </w:r>
    </w:p>
    <w:p>
      <w:r>
        <w:t xml:space="preserve">Reputational risk from product accidents or public controversy</w:t>
      </w:r>
    </w:p>
    <w:p>
      <w:r>
        <w:t xml:space="preserve">These risks tracked separately in Risk Register with specific treatment plans and monitoring.</w:t>
      </w:r>
    </w:p>
    <w:p>
      <w:r>
        <w:t xml:space="preserve">11. RISK APPETITE AND TOLERANCE</w:t>
      </w:r>
    </w:p>
    <w:p>
      <w:r>
        <w:t xml:space="preserve">HorseInsure defines risk tolerance levels:</w:t>
      </w:r>
    </w:p>
    <w:p>
      <w:r>
        <w:t xml:space="preserve">Critical risks (score 20-25): Zero tolerance - must be avoided or immediately mitigated</w:t>
      </w:r>
    </w:p>
    <w:p>
      <w:r>
        <w:t xml:space="preserve">High risks (score 15-19): Minimal tolerance - active management required, quarterly Board reporting</w:t>
      </w:r>
    </w:p>
    <w:p>
      <w:r>
        <w:t xml:space="preserve">Medium risks (score 9-14): Moderate tolerance - managed by business units with quarterly reporting</w:t>
      </w:r>
    </w:p>
    <w:p>
      <w:r>
        <w:t xml:space="preserve">Low risks (score 4-8): Higher tolerance - managed routinely by business unit owners</w:t>
      </w:r>
    </w:p>
    <w:p>
      <w:r>
        <w:t xml:space="preserve">DOCUMENT APPROVAL</w:t>
      </w:r>
    </w:p>
    <w:p>
      <w:r>
        <w:t xml:space="preserve"/>
      </w:r>
    </w:p>
    <w:p>
      <w:r>
        <w:t xml:space="preserve">Angela Torres</w:t>
      </w:r>
    </w:p>
    <w:p>
      <w:r>
        <w:t xml:space="preserve">Compliance Manager</w:t>
      </w:r>
    </w:p>
    <w:p>
      <w:r>
        <w:t xml:space="preserve">Document Owner</w:t>
      </w:r>
    </w:p>
    <w:p>
      <w:r>
        <w:t xml:space="preserve"/>
      </w:r>
    </w:p>
    <w:p>
      <w:r>
        <w:t xml:space="preserve">David Chen</w:t>
      </w:r>
    </w:p>
    <w:p>
      <w:r>
        <w:t xml:space="preserve">CIO/CISO</w:t>
      </w:r>
    </w:p>
    <w:p>
      <w:r>
        <w:t xml:space="preserve">Approved 5 January 2025</w:t>
      </w:r>
    </w:p>
    <w:p>
      <w:r>
        <w:t xml:space="preserve"/>
      </w:r>
    </w:p>
    <w:p>
      <w:pPr>
        <w:jc w:val="center"/>
      </w:pPr>
      <w:r>
        <w:t xml:space="preserve">Page 3 of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2026-02-15T07:35:11.260Z</dcterms:created>
  <dcterms:modified xsi:type="dcterms:W3CDTF">2026-02-15T07:35:11.260Z</dcterms:modified>
</cp:coreProperties>
</file>

<file path=docProps/custom.xml><?xml version="1.0" encoding="utf-8"?>
<Properties xmlns="http://schemas.openxmlformats.org/officeDocument/2006/custom-properties" xmlns:vt="http://schemas.openxmlformats.org/officeDocument/2006/docPropsVTypes"/>
</file>