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 1"/>
        <w:spacing w:after="200"/>
        <w:jc w:val="center"/>
      </w:pPr>
      <w:r>
        <w:t xml:space="preserve">BUSINESS CONTINUITY PLAN</w:t>
      </w:r>
    </w:p>
    <w:p>
      <w:pPr>
        <w:spacing w:after="100"/>
        <w:jc w:val="center"/>
      </w:pPr>
      <w:r>
        <w:t xml:space="preserve">PLA-001</w:t>
      </w:r>
    </w:p>
    <w:p>
      <w:pPr>
        <w:spacing w:after="400"/>
        <w:jc w:val="center"/>
      </w:pPr>
      <w:r>
        <w:t xml:space="preserve">Version 1.1</w:t>
      </w:r>
    </w:p>
    <w:p>
      <w:pPr>
        <w:pStyle w:val="Heading 2"/>
        <w:spacing w:after="200"/>
      </w:pPr>
      <w:r>
        <w:t xml:space="preserve">Document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children>
          <rootKey>w:p</rootKey>
        </children>
        <children>
          <rootKey>w:p</rootKey>
        </children>
      </w:tr>
      <w:tr>
        <children>
          <rootKey>w:p</rootKey>
        </children>
        <children>
          <rootKey>w:p</rootKey>
        </children>
      </w:tr>
      <w:tr>
        <children>
          <rootKey>w:p</rootKey>
        </children>
        <children>
          <rootKey>w:p</rootKey>
        </children>
      </w:tr>
      <w:tr>
        <children>
          <rootKey>w:p</rootKey>
        </children>
        <children>
          <rootKey>w:p</rootKey>
        </children>
      </w:tr>
      <w:tr>
        <children>
          <rootKey>w:p</rootKey>
        </children>
        <children>
          <rootKey>w:p</rootKey>
        </children>
      </w:tr>
    </w:tbl>
    <w:p>
      <w:pPr>
        <w:spacing w:after="300"/>
      </w:pPr>
    </w:p>
    <w:p>
      <w:pPr>
        <w:pStyle w:val="Heading 2"/>
        <w:spacing w:after="200"/>
      </w:pPr>
      <w:r>
        <w:t xml:space="preserve">1. Purpose and Scope</w:t>
      </w:r>
    </w:p>
    <w:p>
      <w:pPr>
        <w:spacing w:after="200"/>
      </w:pPr>
      <w:r>
        <w:t xml:space="preserve">This Business Continuity Plan (BCP) outlines the procedures and responsibilities for maintaining critical business operations during disruptions. HorseInsure Pty Ltd operates across three locations with critical systems supporting equine insurance claims, policy administration, and underwriting.</w:t>
      </w:r>
    </w:p>
    <w:p>
      <w:pPr>
        <w:pStyle w:val="Heading 2"/>
        <w:spacing w:after="200"/>
      </w:pPr>
      <w:r>
        <w:t xml:space="preserve">2. Critical Business Functions and RTO/RPO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bl>
    <w:p>
      <w:pPr>
        <w:spacing w:after="300"/>
      </w:pPr>
    </w:p>
    <w:p>
      <w:pPr>
        <w:pStyle w:val="Heading 2"/>
        <w:spacing w:after="200"/>
      </w:pPr>
      <w:r>
        <w:t xml:space="preserve">3. Emergency Response Team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bl>
    <w:p>
      <w:pPr>
        <w:spacing w:after="300"/>
      </w:pPr>
    </w:p>
    <w:p>
      <w:pPr>
        <w:pStyle w:val="Heading 2"/>
        <w:spacing w:after="200"/>
      </w:pPr>
      <w:r>
        <w:t xml:space="preserve">4. Activation Triggers</w:t>
      </w:r>
    </w:p>
    <w:p>
      <w:pPr>
        <w:spacing w:after="100"/>
      </w:pPr>
      <w:r>
        <w:t xml:space="preserve">The BC plan shall be activated when:</w:t>
      </w:r>
    </w:p>
    <w:p>
      <w:pPr>
        <w:spacing w:after="100"/>
        <w:ind w:left="720"/>
      </w:pPr>
      <w:r>
        <w:t xml:space="preserve">Critical system outage affecting claims processing for more than 30 minutes</w:t>
      </w:r>
    </w:p>
    <w:p>
      <w:pPr>
        <w:spacing w:after="100"/>
        <w:ind w:left="720"/>
      </w:pPr>
      <w:r>
        <w:t xml:space="preserve">Facility becomes inaccessible (fire, natural disaster, security threat)</w:t>
      </w:r>
    </w:p>
    <w:p>
      <w:pPr>
        <w:spacing w:after="100"/>
        <w:ind w:left="720"/>
      </w:pPr>
      <w:r>
        <w:t xml:space="preserve">Data centre unavailability lasting more than 1 hour</w:t>
      </w:r>
    </w:p>
    <w:p>
      <w:pPr>
        <w:spacing w:after="100"/>
        <w:ind w:left="720"/>
      </w:pPr>
      <w:r>
        <w:t xml:space="preserve">Widespread network failure affecting multiple locations</w:t>
      </w:r>
    </w:p>
    <w:p>
      <w:pPr>
        <w:spacing w:after="300"/>
        <w:ind w:left="720"/>
      </w:pPr>
      <w:r>
        <w:t xml:space="preserve">Extended outage of Microsoft 365 or Azure services</w:t>
      </w:r>
    </w:p>
    <w:p>
      <w:pPr>
        <w:pStyle w:val="Heading 2"/>
        <w:spacing w:after="200"/>
      </w:pPr>
      <w:r>
        <w:t xml:space="preserve">5. Recovery Procedures</w:t>
      </w:r>
    </w:p>
    <w:p>
      <w:pPr>
        <w:pStyle w:val="Heading 3"/>
        <w:spacing w:after="150"/>
      </w:pPr>
      <w:r>
        <w:t xml:space="preserve">5.1 EquiClaim (Claims Management System)</w:t>
      </w:r>
    </w:p>
    <w:p>
      <w:pPr>
        <w:spacing w:after="200"/>
      </w:pPr>
      <w:r>
        <w:t xml:space="preserve">Failover to secondary Azure region (East Australia) — automatic switchover enabled. Recovery Point Objective 1 hour. Notify all claims processors and establish command centre at Sydney CBD or Dubbo office.</w:t>
      </w:r>
    </w:p>
    <w:p>
      <w:pPr>
        <w:pStyle w:val="Heading 3"/>
        <w:spacing w:after="150"/>
      </w:pPr>
      <w:r>
        <w:t xml:space="preserve">5.2 EquiPolicy (Policy Administration)</w:t>
      </w:r>
    </w:p>
    <w:p>
      <w:pPr>
        <w:spacing w:after="200"/>
      </w:pPr>
      <w:r>
        <w:t xml:space="preserve">Restore from backup stored at secondary Azure location. RPO 2 hours. Parallel running for 4 hours to ensure data consistency before full cutover.</w:t>
      </w:r>
    </w:p>
    <w:p>
      <w:pPr>
        <w:pStyle w:val="Heading 3"/>
        <w:spacing w:after="150"/>
      </w:pPr>
      <w:r>
        <w:t xml:space="preserve">5.3 Alternate Site Arrangements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bl>
    <w:p>
      <w:pPr>
        <w:spacing w:after="300"/>
      </w:pPr>
    </w:p>
    <w:p>
      <w:pPr>
        <w:pStyle w:val="Heading 2"/>
        <w:spacing w:after="200"/>
      </w:pPr>
      <w:r>
        <w:t xml:space="preserve">6. Communication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bl>
    <w:p>
      <w:pPr>
        <w:spacing w:after="300"/>
      </w:pPr>
    </w:p>
    <w:p>
      <w:pPr>
        <w:pStyle w:val="Heading 2"/>
        <w:spacing w:after="200"/>
      </w:pPr>
      <w:r>
        <w:t xml:space="preserve">7. Testing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r>
        <children>
          <rootKey>w:p</rootKey>
        </children>
        <children>
          <rootKey>w:p</rootKey>
        </children>
        <children>
          <rootKey>w:p</rootKey>
        </children>
        <children>
          <rootKey>w:p</rootKey>
        </children>
      </w:tr>
    </w:tbl>
    <w:p>
      <w:pPr>
        <w:spacing w:after="300"/>
      </w:pPr>
    </w:p>
    <w:p>
      <w:pPr>
        <w:pStyle w:val="Heading 2"/>
        <w:spacing w:after="200"/>
      </w:pPr>
      <w:r>
        <w:t xml:space="preserve">DOCUMENT APPROVAL</w:t>
      </w:r>
    </w:p>
    <w:p>
      <w:pPr>
        <w:spacing w:after="100"/>
      </w:pPr>
      <w:r>
        <w:t xml:space="preserve">Approved by: Margaret Thornton, Chief Executive Officer</w:t>
      </w:r>
    </w:p>
    <w:p>
      <w:pPr>
        <w:spacing w:after="100"/>
      </w:pPr>
      <w:r>
        <w:t xml:space="preserve">Date: 3 April 2024</w:t>
      </w:r>
    </w:p>
    <w:p>
      <w:pPr>
        <w:spacing w:after="100"/>
      </w:pPr>
      <w:r>
        <w:t xml:space="preserve">Owner: Sarah Williams, Head of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2026-02-15T07:30:09.346Z</dcterms:created>
  <dcterms:modified xsi:type="dcterms:W3CDTF">2026-02-15T07:30:09.346Z</dcterms:modified>
</cp:coreProperties>
</file>

<file path=docProps/custom.xml><?xml version="1.0" encoding="utf-8"?>
<Properties xmlns="http://schemas.openxmlformats.org/officeDocument/2006/custom-properties" xmlns:vt="http://schemas.openxmlformats.org/officeDocument/2006/docPropsVTypes"/>
</file>