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jc w:val="center"/>
      </w:pPr>
      <w:r>
        <w:t xml:space="preserve">HORSEINSURE PTY LTD</w:t>
      </w:r>
    </w:p>
    <w:p>
      <w:pPr>
        <w:pStyle w:val="Normal"/>
        <w:jc w:val="center"/>
      </w:pPr>
      <w:r>
        <w:t xml:space="preserve">Incident Response Procedure</w:t>
      </w:r>
    </w:p>
    <w:p>
      <w:pPr>
        <w:pStyle w:val="Normal"/>
        <w:jc w:val="center"/>
      </w:pPr>
      <w:r>
        <w:t xml:space="preserve">PRO-002 v1.3</w:t>
      </w:r>
    </w:p>
    <w:p>
      <w:r>
        <w:t xml:space="preserve"/>
      </w:r>
    </w:p>
    <w:p>
      <w:pPr>
        <w:pStyle w:val="Normal"/>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CCCCCC" w:val="clear"/>
          </w:tcPr>
          <w:p>
            <w:r>
              <w:t xml:space="preserve">Document Name</w:t>
            </w:r>
          </w:p>
        </w:tc>
        <w:tc>
          <w:tcPr>
            <w:tcW w:type="dxa" w:w="4000"/>
            <w:shd w:fill="CCCCCC" w:val="clear"/>
          </w:tcPr>
          <w:p>
            <w:r>
              <w:t xml:space="preserve">Incident Response Procedure</w:t>
            </w:r>
          </w:p>
        </w:tc>
      </w:tr>
      <w:tr>
        <w:tc>
          <w:tcPr>
            <w:tcW w:type="dxa" w:w="2000"/>
            <w:shd w:fill="FFFFFF" w:val="clear"/>
          </w:tcPr>
          <w:p>
            <w:r>
              <w:t xml:space="preserve">Document Number</w:t>
            </w:r>
          </w:p>
        </w:tc>
        <w:tc>
          <w:tcPr>
            <w:tcW w:type="dxa" w:w="4000"/>
            <w:shd w:fill="FFFFFF" w:val="clear"/>
          </w:tcPr>
          <w:p>
            <w:r>
              <w:t xml:space="preserve">PRO-002</w:t>
            </w:r>
          </w:p>
        </w:tc>
      </w:tr>
      <w:tr>
        <w:tc>
          <w:tcPr>
            <w:tcW w:type="dxa" w:w="2000"/>
            <w:shd w:fill="CCCCCC" w:val="clear"/>
          </w:tcPr>
          <w:p>
            <w:r>
              <w:t xml:space="preserve">Version</w:t>
            </w:r>
          </w:p>
        </w:tc>
        <w:tc>
          <w:tcPr>
            <w:tcW w:type="dxa" w:w="4000"/>
            <w:shd w:fill="CCCCCC" w:val="clear"/>
          </w:tcPr>
          <w:p>
            <w:r>
              <w:t xml:space="preserve">1.3</w:t>
            </w:r>
          </w:p>
        </w:tc>
      </w:tr>
      <w:tr>
        <w:tc>
          <w:tcPr>
            <w:tcW w:type="dxa" w:w="2000"/>
            <w:shd w:fill="FFFFFF" w:val="clear"/>
          </w:tcPr>
          <w:p>
            <w:r>
              <w:t xml:space="preserve">Date Approved</w:t>
            </w:r>
          </w:p>
        </w:tc>
        <w:tc>
          <w:tcPr>
            <w:tcW w:type="dxa" w:w="4000"/>
            <w:shd w:fill="FFFFFF" w:val="clear"/>
          </w:tcPr>
          <w:p>
            <w:r>
              <w:t xml:space="preserve">12 August 2025</w:t>
            </w:r>
          </w:p>
        </w:tc>
      </w:tr>
      <w:tr>
        <w:tc>
          <w:tcPr>
            <w:tcW w:type="dxa" w:w="2000"/>
            <w:shd w:fill="CCCCCC" w:val="clear"/>
          </w:tcPr>
          <w:p>
            <w:r>
              <w:t xml:space="preserve">Next Review Date</w:t>
            </w:r>
          </w:p>
        </w:tc>
        <w:tc>
          <w:tcPr>
            <w:tcW w:type="dxa" w:w="4000"/>
            <w:shd w:fill="CCCCCC" w:val="clear"/>
          </w:tcPr>
          <w:p>
            <w:r>
              <w:t xml:space="preserve">12 August 2026</w:t>
            </w:r>
          </w:p>
        </w:tc>
      </w:tr>
      <w:tr>
        <w:tc>
          <w:tcPr>
            <w:tcW w:type="dxa" w:w="2000"/>
            <w:shd w:fill="FFFFFF" w:val="clear"/>
          </w:tcPr>
          <w:p>
            <w:r>
              <w:t xml:space="preserve">Owner</w:t>
            </w:r>
          </w:p>
        </w:tc>
        <w:tc>
          <w:tcPr>
            <w:tcW w:type="dxa" w:w="4000"/>
            <w:shd w:fill="FFFFFF" w:val="clear"/>
          </w:tcPr>
          <w:p>
            <w:r>
              <w:t xml:space="preserve">David Chen (CIO/CISO)</w:t>
            </w:r>
          </w:p>
        </w:tc>
      </w:tr>
      <w:tr>
        <w:tc>
          <w:tcPr>
            <w:tcW w:type="dxa" w:w="2000"/>
            <w:shd w:fill="CCCCCC" w:val="clear"/>
          </w:tcPr>
          <w:p>
            <w:r>
              <w:t xml:space="preserve">Approved By</w:t>
            </w:r>
          </w:p>
        </w:tc>
        <w:tc>
          <w:tcPr>
            <w:tcW w:type="dxa" w:w="4000"/>
            <w:shd w:fill="CCCCCC" w:val="clear"/>
          </w:tcPr>
          <w:p>
            <w:r>
              <w:t xml:space="preserve">Margaret Thornton (CEO)</w:t>
            </w:r>
          </w:p>
        </w:tc>
      </w:tr>
    </w:tbl>
    <w:p>
      <w:r>
        <w:t xml:space="preserve"/>
      </w:r>
    </w:p>
    <w:p>
      <w:pPr>
        <w:pStyle w:val="Normal"/>
      </w:pPr>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CCCCCC" w:val="clear"/>
          </w:tcPr>
          <w:p>
            <w:r>
              <w:t xml:space="preserve">Version</w:t>
            </w:r>
          </w:p>
        </w:tc>
        <w:tc>
          <w:tcPr>
            <w:tcW w:type="dxa" w:w="1500"/>
            <w:shd w:fill="CCCCCC" w:val="clear"/>
          </w:tcPr>
          <w:p>
            <w:r>
              <w:t xml:space="preserve">Date</w:t>
            </w:r>
          </w:p>
        </w:tc>
        <w:tc>
          <w:tcPr>
            <w:tcW w:type="dxa" w:w="3500"/>
            <w:shd w:fill="CCCCCC" w:val="clear"/>
          </w:tcPr>
          <w:p>
            <w:r>
              <w:t xml:space="preserve">Changes</w:t>
            </w:r>
          </w:p>
        </w:tc>
      </w:tr>
      <w:tr>
        <w:tc>
          <w:tcPr>
            <w:tcW w:type="dxa" w:w="1000"/>
          </w:tcPr>
          <w:p>
            <w:r>
              <w:t xml:space="preserve">1.3</w:t>
            </w:r>
          </w:p>
        </w:tc>
        <w:tc>
          <w:tcPr>
            <w:tcW w:type="dxa" w:w="1500"/>
          </w:tcPr>
          <w:p>
            <w:r>
              <w:t xml:space="preserve">12 Aug 2025</w:t>
            </w:r>
          </w:p>
        </w:tc>
        <w:tc>
          <w:tcPr>
            <w:tcW w:type="dxa" w:w="3500"/>
          </w:tcPr>
          <w:p>
            <w:r>
              <w:t xml:space="preserve">Added communication templates and escalation timelines</w:t>
            </w:r>
          </w:p>
        </w:tc>
      </w:tr>
      <w:tr>
        <w:tc>
          <w:tcPr>
            <w:tcW w:type="dxa" w:w="1000"/>
          </w:tcPr>
          <w:p>
            <w:r>
              <w:t xml:space="preserve">1.2</w:t>
            </w:r>
          </w:p>
        </w:tc>
        <w:tc>
          <w:tcPr>
            <w:tcW w:type="dxa" w:w="1500"/>
          </w:tcPr>
          <w:p>
            <w:r>
              <w:t xml:space="preserve">05 May 2025</w:t>
            </w:r>
          </w:p>
        </w:tc>
        <w:tc>
          <w:tcPr>
            <w:tcW w:type="dxa" w:w="3500"/>
          </w:tcPr>
          <w:p>
            <w:r>
              <w:t xml:space="preserve">Enhanced severity classification matrix</w:t>
            </w:r>
          </w:p>
        </w:tc>
      </w:tr>
      <w:tr>
        <w:tc>
          <w:tcPr>
            <w:tcW w:type="dxa" w:w="1000"/>
          </w:tcPr>
          <w:p>
            <w:r>
              <w:t xml:space="preserve">1.0</w:t>
            </w:r>
          </w:p>
        </w:tc>
        <w:tc>
          <w:tcPr>
            <w:tcW w:type="dxa" w:w="1500"/>
          </w:tcPr>
          <w:p>
            <w:r>
              <w:t xml:space="preserve">22 Jul 2024</w:t>
            </w:r>
          </w:p>
        </w:tc>
        <w:tc>
          <w:tcPr>
            <w:tcW w:type="dxa" w:w="3500"/>
          </w:tcPr>
          <w:p>
            <w:r>
              <w:t xml:space="preserve">Initial document creation</w:t>
            </w:r>
          </w:p>
        </w:tc>
      </w:tr>
    </w:tbl>
    <w:p>
      <w:r>
        <w:t xml:space="preserve"/>
      </w:r>
    </w:p>
    <w:p>
      <w:pPr>
        <w:pStyle w:val="Normal"/>
      </w:pPr>
      <w:r>
        <w:t xml:space="preserve">1. PURPOSE</w:t>
      </w:r>
    </w:p>
    <w:p>
      <w:r>
        <w:t xml:space="preserve">This procedure defines HorseInsure Pty Ltd's approach to managing security incidents and breaches. It establishes a structured framework for detecting, responding to, and learning from security incidents to minimise impact and improve future resilience.</w:t>
      </w:r>
    </w:p>
    <w:p>
      <w:pPr>
        <w:pStyle w:val="Normal"/>
      </w:pPr>
      <w:r>
        <w:t xml:space="preserve">2. SCOPE</w:t>
      </w:r>
    </w:p>
    <w:p>
      <w:r>
        <w:t xml:space="preserve">This procedure applies to all security incidents affecting HorseInsure systems, data, and infrastructure, including:</w:t>
      </w:r>
    </w:p>
    <w:p>
      <w:r>
        <w:t xml:space="preserve">Unauthorised access or disclosure of sensitive data (horse owner information, policy details, claim records)</w:t>
      </w:r>
    </w:p>
    <w:p>
      <w:r>
        <w:t xml:space="preserve">Malware infections, ransomware, or other malicious code</w:t>
      </w:r>
    </w:p>
    <w:p>
      <w:r>
        <w:t xml:space="preserve">Denial of service attacks affecting business systems</w:t>
      </w:r>
    </w:p>
    <w:p>
      <w:r>
        <w:t xml:space="preserve">System failures or data corruption</w:t>
      </w:r>
    </w:p>
    <w:p>
      <w:r>
        <w:t xml:space="preserve">Insider threats or misuse of access privileges</w:t>
      </w:r>
    </w:p>
    <w:p>
      <w:r>
        <w:t xml:space="preserve">Phishing attacks targeting staff</w:t>
      </w:r>
    </w:p>
    <w:p>
      <w:pPr>
        <w:pStyle w:val="Normal"/>
      </w:pPr>
      <w:r>
        <w:t xml:space="preserve">3. INCIDENT SEVERITY CLASSIFICATION</w:t>
      </w:r>
    </w:p>
    <w:p>
      <w:r>
        <w:t xml:space="preserve">All incidents are classified into severity levels that determine response urgency and escalation: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CCCCCC" w:val="clear"/>
          </w:tcPr>
          <w:p>
            <w:r>
              <w:t xml:space="preserve">Level</w:t>
            </w:r>
          </w:p>
        </w:tc>
        <w:tc>
          <w:tcPr>
            <w:tcW w:type="dxa" w:w="1500"/>
            <w:shd w:fill="CCCCCC" w:val="clear"/>
          </w:tcPr>
          <w:p>
            <w:r>
              <w:t xml:space="preserve">Definition</w:t>
            </w:r>
          </w:p>
        </w:tc>
        <w:tc>
          <w:tcPr>
            <w:tcW w:type="dxa" w:w="2300"/>
            <w:shd w:fill="CCCCCC" w:val="clear"/>
          </w:tcPr>
          <w:p>
            <w:r>
              <w:t xml:space="preserve">Response Time</w:t>
            </w:r>
          </w:p>
        </w:tc>
      </w:tr>
      <w:tr>
        <w:tc>
          <w:tcPr>
            <w:tcW w:type="dxa" w:w="1200"/>
          </w:tcPr>
          <w:p>
            <w:r>
              <w:t xml:space="preserve">Critical</w:t>
            </w:r>
          </w:p>
        </w:tc>
        <w:tc>
          <w:tcPr>
            <w:tcW w:type="dxa" w:w="1500"/>
          </w:tcPr>
          <w:p>
            <w:r>
              <w:t xml:space="preserve">Loss of business critical systems (EquiClaim down), potential loss of personal data affecting 100+ customers</w:t>
            </w:r>
          </w:p>
        </w:tc>
        <w:tc>
          <w:tcPr>
            <w:tcW w:type="dxa" w:w="2300"/>
          </w:tcPr>
          <w:p>
            <w:r>
              <w:t xml:space="preserve">Immediate - within 15 minutes</w:t>
            </w:r>
          </w:p>
        </w:tc>
      </w:tr>
      <w:tr>
        <w:tc>
          <w:tcPr>
            <w:tcW w:type="dxa" w:w="1200"/>
          </w:tcPr>
          <w:p>
            <w:r>
              <w:t xml:space="preserve">High</w:t>
            </w:r>
          </w:p>
        </w:tc>
        <w:tc>
          <w:tcPr>
            <w:tcW w:type="dxa" w:w="1500"/>
          </w:tcPr>
          <w:p>
            <w:r>
              <w:t xml:space="preserve">Partial system degradation, confirmed breach affecting 10-100 customers, ransomware detected</w:t>
            </w:r>
          </w:p>
        </w:tc>
        <w:tc>
          <w:tcPr>
            <w:tcW w:type="dxa" w:w="2300"/>
          </w:tcPr>
          <w:p>
            <w:r>
              <w:t xml:space="preserve">Within 1 hour</w:t>
            </w:r>
          </w:p>
        </w:tc>
      </w:tr>
      <w:tr>
        <w:tc>
          <w:tcPr>
            <w:tcW w:type="dxa" w:w="1200"/>
          </w:tcPr>
          <w:p>
            <w:r>
              <w:t xml:space="preserve">Medium</w:t>
            </w:r>
          </w:p>
        </w:tc>
        <w:tc>
          <w:tcPr>
            <w:tcW w:type="dxa" w:w="1500"/>
          </w:tcPr>
          <w:p>
            <w:r>
              <w:t xml:space="preserve">Unsuccessful attack attempts, isolated data access by unauthorised user, potential breach of &lt;10 records</w:t>
            </w:r>
          </w:p>
        </w:tc>
        <w:tc>
          <w:tcPr>
            <w:tcW w:type="dxa" w:w="2300"/>
          </w:tcPr>
          <w:p>
            <w:r>
              <w:t xml:space="preserve">Within 4 hours</w:t>
            </w:r>
          </w:p>
        </w:tc>
      </w:tr>
      <w:tr>
        <w:tc>
          <w:tcPr>
            <w:tcW w:type="dxa" w:w="1200"/>
          </w:tcPr>
          <w:p>
            <w:r>
              <w:t xml:space="preserve">Low</w:t>
            </w:r>
          </w:p>
        </w:tc>
        <w:tc>
          <w:tcPr>
            <w:tcW w:type="dxa" w:w="1500"/>
          </w:tcPr>
          <w:p>
            <w:r>
              <w:t xml:space="preserve">Phishing attempt reported by staff, misconfiguration with no data access, failed login attempts</w:t>
            </w:r>
          </w:p>
        </w:tc>
        <w:tc>
          <w:tcPr>
            <w:tcW w:type="dxa" w:w="2300"/>
          </w:tcPr>
          <w:p>
            <w:r>
              <w:t xml:space="preserve">Within 1 business day</w:t>
            </w:r>
          </w:p>
        </w:tc>
      </w:tr>
    </w:tbl>
    <w:p>
      <w:r>
        <w:t xml:space="preserve"/>
      </w:r>
    </w:p>
    <w:p>
      <w:pPr>
        <w:jc w:val="center"/>
      </w:pPr>
      <w:r>
        <w:t xml:space="preserve">Page 1 of 6</w:t>
      </w:r>
    </w:p>
    <w:p/>
    <w:p>
      <w:pPr>
        <w:pStyle w:val="Normal"/>
      </w:pPr>
      <w:r>
        <w:t xml:space="preserve">4. INCIDENT RESPONSE TEAM</w:t>
      </w:r>
    </w:p>
    <w:p>
      <w:pPr>
        <w:spacing w:after="100"/>
      </w:pPr>
      <w:r>
        <w:t xml:space="preserve">Incident Response Team Members:</w:t>
      </w:r>
    </w:p>
    <w:p>
      <w:r>
        <w:t xml:space="preserve">David Chen (CIO/CISO) - Team Lead and overall coordination</w:t>
      </w:r>
    </w:p>
    <w:p>
      <w:r>
        <w:t xml:space="preserve">Sarah Williams (Head of IT) - Technical response and remediation</w:t>
      </w:r>
    </w:p>
    <w:p>
      <w:r>
        <w:t xml:space="preserve">Marcus Lee (IT Security Analyst) - Incident investigation and forensics</w:t>
      </w:r>
    </w:p>
    <w:p>
      <w:r>
        <w:t xml:space="preserve">Liam Foster (Network Administrator) - Network analysis and containment</w:t>
      </w:r>
    </w:p>
    <w:p>
      <w:r>
        <w:t xml:space="preserve">Margaret Thornton (CEO) - Executive escalation and communications</w:t>
      </w:r>
    </w:p>
    <w:p>
      <w:r>
        <w:t xml:space="preserve">Angela Torres (Compliance Manager) - Legal and regulatory reporting</w:t>
      </w:r>
    </w:p>
    <w:p>
      <w:r>
        <w:t xml:space="preserve">Escalation contacts outside of core team:</w:t>
      </w:r>
    </w:p>
    <w:p>
      <w:r>
        <w:t xml:space="preserve">External incident response firm - engaged if expertise exceeds internal capability</w:t>
      </w:r>
    </w:p>
    <w:p>
      <w:r>
        <w:t xml:space="preserve">Australian Information Commissioner's Office (OAIC) - data breach reporting</w:t>
      </w:r>
    </w:p>
    <w:p>
      <w:r>
        <w:t xml:space="preserve">Law enforcement (Australian Federal Police) - criminal investigation</w:t>
      </w:r>
    </w:p>
    <w:p>
      <w:pPr>
        <w:pStyle w:val="Normal"/>
      </w:pPr>
      <w:r>
        <w:t xml:space="preserve">5. DETECTION PHASE</w:t>
      </w:r>
    </w:p>
    <w:p>
      <w:r>
        <w:t xml:space="preserve">Security incidents can be detected through multiple channels:</w:t>
      </w:r>
    </w:p>
    <w:p>
      <w:r>
        <w:t xml:space="preserve">Automated monitoring systems (SIEM, network monitoring, antivirus alerts)</w:t>
      </w:r>
    </w:p>
    <w:p>
      <w:r>
        <w:t xml:space="preserve">Staff reports (Help Desk, managers, security team)</w:t>
      </w:r>
    </w:p>
    <w:p>
      <w:r>
        <w:t xml:space="preserve">System event logs and audit trails</w:t>
      </w:r>
    </w:p>
    <w:p>
      <w:r>
        <w:t xml:space="preserve">Third-party vulnerability scanning and penetration testing findings</w:t>
      </w:r>
    </w:p>
    <w:p>
      <w:r>
        <w:t xml:space="preserve">External notification (customers reporting suspicious activity, competitors, media)</w:t>
      </w:r>
    </w:p>
    <w:p>
      <w:r>
        <w:t xml:space="preserve">When an incident is suspected, the discoverer must immediately:</w:t>
      </w:r>
    </w:p>
    <w:p>
      <w:r>
        <w:t xml:space="preserve">Contact the IT Help Desk (extension 2000) or David Chen directly</w:t>
      </w:r>
    </w:p>
    <w:p>
      <w:r>
        <w:t xml:space="preserve">Preserve evidence and do not tamper with affected systems</w:t>
      </w:r>
    </w:p>
    <w:p>
      <w:r>
        <w:t xml:space="preserve">Document what they observed and when</w:t>
      </w:r>
    </w:p>
    <w:p>
      <w:r>
        <w:t xml:space="preserve">Alert relevant stakeholders (manager, claims team if EquiClaim affected, etc)</w:t>
      </w:r>
    </w:p>
    <w:p>
      <w:pPr>
        <w:pStyle w:val="Normal"/>
      </w:pPr>
      <w:r>
        <w:t xml:space="preserve">6. TRIAGE PHASE</w:t>
      </w:r>
    </w:p>
    <w:p>
      <w:r>
        <w:t xml:space="preserve">The IT Security Analyst and CIO/CISO assess the incident within 15 minutes of notification to determine:</w:t>
      </w:r>
    </w:p>
    <w:p>
      <w:r>
        <w:t xml:space="preserve">Severity classification (critical, high, medium, or low)</w:t>
      </w:r>
    </w:p>
    <w:p>
      <w:r>
        <w:t xml:space="preserve">Affected systems and data</w:t>
      </w:r>
    </w:p>
    <w:p>
      <w:r>
        <w:t xml:space="preserve">Scope of impact (number of users, records, or systems affected)</w:t>
      </w:r>
    </w:p>
    <w:p>
      <w:r>
        <w:t xml:space="preserve">Whether it is a confirmed breach or suspected incident</w:t>
      </w:r>
    </w:p>
    <w:p>
      <w:r>
        <w:t xml:space="preserve">Whether data of personal nature has been compromised</w:t>
      </w:r>
    </w:p>
    <w:p>
      <w:r>
        <w:t xml:space="preserve">For Critical and High incidents, the CIO/CISO must immediately escalate to the CEO. A phone call must be made; email notification alone is not sufficient. Incident response team must convene within 30 minutes.</w:t>
      </w:r>
    </w:p>
    <w:p>
      <w:pPr>
        <w:pStyle w:val="Normal"/>
      </w:pPr>
      <w:r>
        <w:t xml:space="preserve">7. CONTAINMENT PHASE</w:t>
      </w:r>
    </w:p>
    <w:p>
      <w:r>
        <w:t xml:space="preserve">Once severity is confirmed, immediate actions are taken to prevent further damage:</w:t>
      </w:r>
    </w:p>
    <w:p>
      <w:r>
        <w:t xml:space="preserve">For Malware/Ransomware:</w:t>
      </w:r>
    </w:p>
    <w:p>
      <w:r>
        <w:t xml:space="preserve">Isolate affected systems from network</w:t>
      </w:r>
    </w:p>
    <w:p>
      <w:r>
        <w:t xml:space="preserve">Preserve disk image for forensic analysis</w:t>
      </w:r>
    </w:p>
    <w:p>
      <w:r>
        <w:t xml:space="preserve">Engage antivirus scanning on all systems</w:t>
      </w:r>
    </w:p>
    <w:p>
      <w:r>
        <w:t xml:space="preserve">For Unauthorised Access:</w:t>
      </w:r>
    </w:p>
    <w:p>
      <w:r>
        <w:t xml:space="preserve">Disable compromised user accounts immediately</w:t>
      </w:r>
    </w:p>
    <w:p>
      <w:r>
        <w:t xml:space="preserve">Force password reset for affected users and related accounts</w:t>
      </w:r>
    </w:p>
    <w:p>
      <w:r>
        <w:t xml:space="preserve">Review access logs to determine scope and what data was accessed</w:t>
      </w:r>
    </w:p>
    <w:p>
      <w:r>
        <w:t xml:space="preserve">Reset MFA tokens if authentication was compromised</w:t>
      </w:r>
    </w:p>
    <w:p>
      <w:r>
        <w:t xml:space="preserve">For Data Breach:</w:t>
      </w:r>
    </w:p>
    <w:p>
      <w:r>
        <w:t xml:space="preserve">Restrict access to affected data if possible (limit to investigation team)</w:t>
      </w:r>
    </w:p>
    <w:p>
      <w:r>
        <w:t xml:space="preserve">Ensure all access is logged and monitored</w:t>
      </w:r>
    </w:p>
    <w:p>
      <w:r>
        <w:t xml:space="preserve">Identify all records affected</w:t>
      </w:r>
    </w:p>
    <w:p>
      <w:r>
        <w:t xml:space="preserve">Contact Compliance Manager for breach notification obligations</w:t>
      </w:r>
    </w:p>
    <w:p>
      <w:pPr>
        <w:jc w:val="center"/>
      </w:pPr>
      <w:r>
        <w:t xml:space="preserve">Page 2 of 6</w:t>
      </w:r>
    </w:p>
    <w:p/>
    <w:p>
      <w:pPr>
        <w:pStyle w:val="Normal"/>
      </w:pPr>
      <w:r>
        <w:t xml:space="preserve">8. ERADICATION PHASE</w:t>
      </w:r>
    </w:p>
    <w:p>
      <w:r>
        <w:t xml:space="preserve">The incident response team works to remove the root cause of the incident:</w:t>
      </w:r>
    </w:p>
    <w:p>
      <w:r>
        <w:t xml:space="preserve">Determine how the attacker/malware gained access</w:t>
      </w:r>
    </w:p>
    <w:p>
      <w:r>
        <w:t xml:space="preserve">Patch vulnerabilities that were exploited</w:t>
      </w:r>
    </w:p>
    <w:p>
      <w:r>
        <w:t xml:space="preserve">Remove all malware, backdoors, or unauthorised access</w:t>
      </w:r>
    </w:p>
    <w:p>
      <w:r>
        <w:t xml:space="preserve">Close or reconfigure the attack vector (firewall rules, application settings, access controls)</w:t>
      </w:r>
    </w:p>
    <w:p>
      <w:r>
        <w:t xml:space="preserve">Strengthen authentication or encryption for affected systems</w:t>
      </w:r>
    </w:p>
    <w:p>
      <w:pPr>
        <w:pStyle w:val="Normal"/>
      </w:pPr>
      <w:r>
        <w:t xml:space="preserve">9. RECOVERY PHASE</w:t>
      </w:r>
    </w:p>
    <w:p>
      <w:r>
        <w:t xml:space="preserve">Once the threat is eliminated, systems are restored to normal operation:</w:t>
      </w:r>
    </w:p>
    <w:p>
      <w:r>
        <w:t xml:space="preserve">Restore systems from known-good backups (created before compromise)</w:t>
      </w:r>
    </w:p>
    <w:p>
      <w:r>
        <w:t xml:space="preserve">Verify system integrity before reconnecting to network</w:t>
      </w:r>
    </w:p>
    <w:p>
      <w:r>
        <w:t xml:space="preserve">Restore affected users' access with new credentials and MFA</w:t>
      </w:r>
    </w:p>
    <w:p>
      <w:r>
        <w:t xml:space="preserve">Monitor restored systems closely for signs of re-compromise</w:t>
      </w:r>
    </w:p>
    <w:p>
      <w:r>
        <w:t xml:space="preserve">Notify affected users when systems are back online</w:t>
      </w:r>
    </w:p>
    <w:p>
      <w:pPr>
        <w:pStyle w:val="Normal"/>
      </w:pPr>
      <w:r>
        <w:t xml:space="preserve">10. COMMUNICATION AND ESCALATION</w:t>
      </w:r>
    </w:p>
    <w:p>
      <w:r>
        <w:t xml:space="preserve">Communication must be coordinated throughout the incident response:</w:t>
      </w:r>
    </w:p>
    <w:p>
      <w:r>
        <w:t xml:space="preserve">Internal Communication:</w:t>
      </w:r>
    </w:p>
    <w:p>
      <w:r>
        <w:t xml:space="preserve">Incident response team holds daily stand-ups during active incident response</w:t>
      </w:r>
    </w:p>
    <w:p>
      <w:r>
        <w:t xml:space="preserve">Updates provided to CEO and business leaders every 4 hours for Critical incidents</w:t>
      </w:r>
    </w:p>
    <w:p>
      <w:r>
        <w:t xml:space="preserve">All-staff update issued once situation is under control</w:t>
      </w:r>
    </w:p>
    <w:p>
      <w:r>
        <w:t xml:space="preserve">Customer Communication:</w:t>
      </w:r>
    </w:p>
    <w:p>
      <w:r>
        <w:t xml:space="preserve">CEO and Head of Claims coordinate customer notifications</w:t>
      </w:r>
    </w:p>
    <w:p>
      <w:r>
        <w:t xml:space="preserve">For data breaches, individual notifications to affected customers within required timeframe</w:t>
      </w:r>
    </w:p>
    <w:p>
      <w:r>
        <w:t xml:space="preserve">Breaches affecting more than 5 customers require media notification and regulatory reporting</w:t>
      </w:r>
    </w:p>
    <w:p>
      <w:r>
        <w:t xml:space="preserve">Regulatory Communication:</w:t>
      </w:r>
    </w:p>
    <w:p>
      <w:r>
        <w:t xml:space="preserve">Compliance Manager assesses mandatory reporting obligations (OAIC, financial regulators)</w:t>
      </w:r>
    </w:p>
    <w:p>
      <w:r>
        <w:t xml:space="preserve">For critical incidents, CEO approves all external communications before sending</w:t>
      </w:r>
    </w:p>
    <w:p>
      <w:r>
        <w:t xml:space="preserve">Notifications to be sent within prescribed timeframes (typically 30 days for breaches)</w:t>
      </w:r>
    </w:p>
    <w:p>
      <w:pPr>
        <w:pStyle w:val="Normal"/>
      </w:pPr>
      <w:r>
        <w:t xml:space="preserve">11. COMMUNICATION TEMPLATES</w:t>
      </w:r>
    </w:p>
    <w:p>
      <w:pPr>
        <w:spacing w:after="100"/>
      </w:pPr>
      <w:r>
        <w:t xml:space="preserve">Internal Incident Alert (for all staff):</w:t>
      </w:r>
    </w:p>
    <w:p>
      <w:r>
        <w:t xml:space="preserve">"HorseInsure is currently responding to a security incident affecting [affected system/data]. We have contained the issue and are working to restore full service. We will provide updates every [2/4] hours. If you notice any suspicious activity, contact the IT Help Desk immediately. Do not attempt to access affected systems unless instructed by IT."</w:t>
      </w:r>
    </w:p>
    <w:p>
      <w:pPr>
        <w:spacing w:after="100"/>
      </w:pPr>
      <w:r>
        <w:t xml:space="preserve">Customer Notification (for data breach):</w:t>
      </w:r>
    </w:p>
    <w:p>
      <w:r>
        <w:t xml:space="preserve">"We are writing to inform you of a security incident that may have affected your personal information held by HorseInsure. We have taken immediate steps to secure your data and engaged external experts to investigate. We do not believe your information has been misused, but you should consider [password reset/credit monitoring] as a precaution. For questions, contact [contact details]."</w:t>
      </w:r>
    </w:p>
    <w:p>
      <w:pPr>
        <w:jc w:val="center"/>
      </w:pPr>
      <w:r>
        <w:t xml:space="preserve">Page 3 of 6</w:t>
      </w:r>
    </w:p>
    <w:p/>
    <w:p>
      <w:pPr>
        <w:pStyle w:val="Normal"/>
      </w:pPr>
      <w:r>
        <w:t xml:space="preserve">12. POST-INCIDENT REVIEW AND LESSONS LEARNED</w:t>
      </w:r>
    </w:p>
    <w:p>
      <w:r>
        <w:t xml:space="preserve">Within 5 business days of incident resolution, the incident response team conducts a lessons learned session:</w:t>
      </w:r>
    </w:p>
    <w:p>
      <w:r>
        <w:t xml:space="preserve">Review timeline of events and response actions taken</w:t>
      </w:r>
    </w:p>
    <w:p>
      <w:r>
        <w:t xml:space="preserve">Identify root cause and contributing factors</w:t>
      </w:r>
    </w:p>
    <w:p>
      <w:r>
        <w:t xml:space="preserve">Identify what went well and what could be improved</w:t>
      </w:r>
    </w:p>
    <w:p>
      <w:r>
        <w:t xml:space="preserve">Document recommendations for preventing similar incidents</w:t>
      </w:r>
    </w:p>
    <w:p>
      <w:r>
        <w:t xml:space="preserve">Assign owners and deadlines for remediation actions</w:t>
      </w:r>
    </w:p>
    <w:p>
      <w:r>
        <w:t xml:space="preserve">Formally document the incident report and lessons learned in a post-incident review document</w:t>
      </w:r>
    </w:p>
    <w:p>
      <w:r>
        <w:t xml:space="preserve">Incident reports are maintained for a minimum of 7 years and reviewed during internal audits to identify trends.</w:t>
      </w:r>
    </w:p>
    <w:p>
      <w:pPr>
        <w:pStyle w:val="Normal"/>
      </w:pPr>
      <w:r>
        <w:t xml:space="preserve">13. INCIDENT LOGGING AND TRACKING</w:t>
      </w:r>
    </w:p>
    <w:p>
      <w:r>
        <w:t xml:space="preserve">All incidents, regardless of severity, are logged in the incident management system with the following information:</w:t>
      </w:r>
    </w:p>
    <w:p>
      <w:r>
        <w:t xml:space="preserve">Incident ID and creation date/time</w:t>
      </w:r>
    </w:p>
    <w:p>
      <w:r>
        <w:t xml:space="preserve">Description of incident</w:t>
      </w:r>
    </w:p>
    <w:p>
      <w:r>
        <w:t xml:space="preserve">Severity level</w:t>
      </w:r>
    </w:p>
    <w:p>
      <w:r>
        <w:t xml:space="preserve">Affected systems and number of affected records/users</w:t>
      </w:r>
    </w:p>
    <w:p>
      <w:r>
        <w:t xml:space="preserve">Incident response team members assigned</w:t>
      </w:r>
    </w:p>
    <w:p>
      <w:r>
        <w:t xml:space="preserve">Timeline of key events</w:t>
      </w:r>
    </w:p>
    <w:p>
      <w:r>
        <w:t xml:space="preserve">Root cause analysis and corrective actions</w:t>
      </w:r>
    </w:p>
    <w:p>
      <w:r>
        <w:t xml:space="preserve">Cost of incident response and recovery</w:t>
      </w:r>
    </w:p>
    <w:p>
      <w:pPr>
        <w:pStyle w:val="Normal"/>
      </w:pPr>
      <w:r>
        <w:t xml:space="preserve">14. INCIDENT RESPONSE TRAINING AND TESTING</w:t>
      </w:r>
    </w:p>
    <w:p>
      <w:r>
        <w:t xml:space="preserve">The incident response team conducts training and testing to maintain readiness:</w:t>
      </w:r>
    </w:p>
    <w:p>
      <w:r>
        <w:t xml:space="preserve">Tabletop exercises are conducted quarterly to simulate different incident scenarios</w:t>
      </w:r>
    </w:p>
    <w:p>
      <w:r>
        <w:t xml:space="preserve">All incident response team members complete incident response training annually</w:t>
      </w:r>
    </w:p>
    <w:p>
      <w:r>
        <w:t xml:space="preserve">New team members complete incident response onboarding within their first 30 days</w:t>
      </w:r>
    </w:p>
    <w:p>
      <w:r>
        <w:t xml:space="preserve">Incident response contact list is verified and updated quarterly</w:t>
      </w:r>
    </w:p>
    <w:p>
      <w:pPr>
        <w:pStyle w:val="Normal"/>
      </w:pPr>
      <w:r>
        <w:t xml:space="preserve">DOCUMENT APPROVAL</w:t>
      </w:r>
    </w:p>
    <w:p>
      <w:r>
        <w:t xml:space="preserve"/>
      </w:r>
    </w:p>
    <w:p>
      <w:r>
        <w:t xml:space="preserve">David Chen</w:t>
      </w:r>
    </w:p>
    <w:p>
      <w:r>
        <w:t xml:space="preserve">CIO/CISO</w:t>
      </w:r>
    </w:p>
    <w:p>
      <w:r>
        <w:t xml:space="preserve">Document Owner</w:t>
      </w:r>
    </w:p>
    <w:p>
      <w:r>
        <w:t xml:space="preserve"/>
      </w:r>
    </w:p>
    <w:p>
      <w:r>
        <w:t xml:space="preserve">Margaret Thornton</w:t>
      </w:r>
    </w:p>
    <w:p>
      <w:r>
        <w:t xml:space="preserve">Chief Executive Officer</w:t>
      </w:r>
    </w:p>
    <w:p>
      <w:r>
        <w:t xml:space="preserve">Approved 12 August 2025</w:t>
      </w:r>
    </w:p>
    <w:p>
      <w:r>
        <w:t xml:space="preserve"/>
      </w:r>
    </w:p>
    <w:p>
      <w:pPr>
        <w:jc w:val="center"/>
      </w:pPr>
      <w:r>
        <w:t xml:space="preserve">Page 4 of 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2026-02-15T07:29:55.831Z</dcterms:created>
  <dcterms:modified xsi:type="dcterms:W3CDTF">2026-02-15T07:29:55.831Z</dcterms:modified>
</cp:coreProperties>
</file>

<file path=docProps/custom.xml><?xml version="1.0" encoding="utf-8"?>
<Properties xmlns="http://schemas.openxmlformats.org/officeDocument/2006/custom-properties" xmlns:vt="http://schemas.openxmlformats.org/officeDocument/2006/docPropsVTypes"/>
</file>