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200"/>
        <w:jc w:val="center"/>
      </w:pPr>
      <w:r>
        <w:t xml:space="preserve">RISK REGISTER</w:t>
      </w:r>
    </w:p>
    <w:p>
      <w:pPr>
        <w:spacing w:after="100"/>
        <w:jc w:val="center"/>
      </w:pPr>
      <w:r>
        <w:t xml:space="preserve">REG-001</w:t>
      </w:r>
    </w:p>
    <w:p>
      <w:pPr>
        <w:spacing w:after="400"/>
        <w:jc w:val="center"/>
      </w:pPr>
      <w:r>
        <w:t xml:space="preserve">Living Document — Last Updated 30 November 2025</w:t>
      </w:r>
    </w:p>
    <w:p>
      <w:pPr>
        <w:pStyle w:val="Heading 2"/>
        <w:spacing w:after="200"/>
      </w:pPr>
      <w:r>
        <w:t xml:space="preserve">Document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</w:tr>
    </w:tbl>
    <w:p>
      <w:pPr>
        <w:spacing w:after="300"/>
      </w:pPr>
    </w:p>
    <w:p>
      <w:pPr>
        <w:spacing w:after="100"/>
      </w:pPr>
      <w:r>
        <w:t xml:space="preserve">Risk Scoring Scale: Likelihood (1-5) × Impact (1-5) = Risk Score</w:t>
      </w:r>
    </w:p>
    <w:p>
      <w:pPr>
        <w:spacing w:after="300"/>
      </w:pPr>
      <w:r>
        <w:t xml:space="preserve">1 = Very Low/Minor; 2 = Low/Moderate; 3 = Medium; 4 = High/Major; 5 = Critical/Severe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  <w:tr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  <children>
          <rootKey>w:p</rootKey>
        </children>
      </w:tr>
    </w:tbl>
    <w:p>
      <w:pPr>
        <w:spacing w:after="300"/>
      </w:pPr>
    </w:p>
    <w:p>
      <w:pPr>
        <w:spacing w:after="200"/>
      </w:pPr>
      <w:r>
        <w:t xml:space="preserve">Note: Risks RK-007, RK-013, and RK-019 lack treatment plans and require completion. Risks RK-004 and RK-017 have past-due review dates and require immediate reassessment.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2026-02-15T07:30:09.375Z</dcterms:created>
  <dcterms:modified xsi:type="dcterms:W3CDTF">2026-02-15T07:30:09.375Z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