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 1"/>
        <w:spacing w:after="200"/>
        <w:jc w:val="center"/>
      </w:pPr>
      <w:r>
        <w:t xml:space="preserve">STATEMENT OF APPLICABILITY</w:t>
      </w:r>
    </w:p>
    <w:p>
      <w:pPr>
        <w:spacing w:after="100"/>
        <w:jc w:val="center"/>
      </w:pPr>
      <w:r>
        <w:t xml:space="preserve">SOA-001</w:t>
      </w:r>
    </w:p>
    <w:p>
      <w:pPr>
        <w:spacing w:after="400"/>
        <w:jc w:val="center"/>
      </w:pPr>
      <w:r>
        <w:t xml:space="preserve">Version 2.0 — Approved 15 March 2025</w:t>
      </w:r>
    </w:p>
    <w:p>
      <w:pPr>
        <w:pStyle w:val="Heading 2"/>
        <w:spacing w:after="200"/>
      </w:pPr>
      <w:r>
        <w:t xml:space="preserve">Document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children>
          <rootKey>w:p</rootKey>
        </children>
        <children>
          <rootKey>w:p</rootKey>
        </children>
      </w:tr>
      <w:tr>
        <children>
          <rootKey>w:p</rootKey>
        </children>
        <children>
          <rootKey>w:p</rootKey>
        </children>
      </w:tr>
      <w:tr>
        <children>
          <rootKey>w:p</rootKey>
        </children>
        <children>
          <rootKey>w:p</rootKey>
        </children>
      </w:tr>
      <w:tr>
        <children>
          <rootKey>w:p</rootKey>
        </children>
        <children>
          <rootKey>w:p</rootKey>
        </children>
      </w:tr>
      <w:tr>
        <children>
          <rootKey>w:p</rootKey>
        </children>
        <children>
          <rootKey>w:p</rootKey>
        </children>
      </w:tr>
    </w:tbl>
    <w:p>
      <w:pPr>
        <w:spacing w:after="300"/>
      </w:pPr>
    </w:p>
    <w:p>
      <w:pPr>
        <w:pStyle w:val="Heading 2"/>
        <w:spacing w:after="200"/>
      </w:pPr>
      <w:r>
        <w:t xml:space="preserve">Introduction</w:t>
      </w:r>
    </w:p>
    <w:p>
      <w:pPr>
        <w:spacing w:after="300"/>
      </w:pPr>
      <w:r>
        <w:t xml:space="preserve">This Statement of Applicability documents the security controls relevant to HorseInsure Pty Ltd operations across claims management (EquiClaim), policy administration (EquiPolicy), underwriting (EquiQuote), cloud infrastructure (Azure, Microsoft 365), and business applications (Salesforce, SAP Finance). The controls are assessed for applicability, justification, and implementation status across all three operating 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r>
        <children>
          <rootKey>w:p</rootKey>
        </children>
        <children>
          <rootKey>w:p</rootKey>
        </children>
        <children>
          <rootKey>w:p</rootKey>
        </children>
        <children>
          <rootKey>w:p</rootKey>
        </children>
        <children>
          <rootKey>w:p</rootKey>
        </children>
      </w:tr>
    </w:tbl>
    <w:p>
      <w:pPr>
        <w:spacing w:after="300"/>
      </w:pPr>
    </w:p>
    <w:p>
      <w:pPr>
        <w:pStyle w:val="Heading 2"/>
        <w:spacing w:after="200"/>
      </w:pPr>
      <w:r>
        <w:t xml:space="preserve">Implementation Notes</w:t>
      </w:r>
    </w:p>
    <w:p>
      <w:pPr>
        <w:pStyle w:val="Heading 3"/>
        <w:spacing w:after="150"/>
      </w:pPr>
      <w:r>
        <w:t xml:space="preserve">Partially Implemented Controls:</w:t>
      </w:r>
    </w:p>
    <w:p>
      <w:pPr>
        <w:spacing w:after="100"/>
        <w:ind w:left="720"/>
      </w:pPr>
      <w:r>
        <w:t xml:space="preserve">SEC-05 (Cryptography) — TLS in transit enabled; at-rest encryption pending SAP upgrade Q2 2025</w:t>
      </w:r>
    </w:p>
    <w:p>
      <w:pPr>
        <w:spacing w:after="100"/>
        <w:ind w:left="720"/>
      </w:pPr>
      <w:r>
        <w:t xml:space="preserve">SEC-11 (Incident Management) — Plan documented but only 1 mock incident response exercise completed</w:t>
      </w:r>
    </w:p>
    <w:p>
      <w:pPr>
        <w:spacing w:after="100"/>
        <w:ind w:left="720"/>
      </w:pPr>
      <w:r>
        <w:t xml:space="preserve">SEC-16 (Application Security) — Code reviews in place; SAST tooling implementation pending</w:t>
      </w:r>
    </w:p>
    <w:p>
      <w:pPr>
        <w:spacing w:after="100"/>
        <w:ind w:left="720"/>
      </w:pPr>
      <w:r>
        <w:t xml:space="preserve">SEC-23 (Privacy Impact Assessment) — Framework exists; not consistently applied to vendor systems</w:t>
      </w:r>
    </w:p>
    <w:p>
      <w:pPr>
        <w:spacing w:after="300"/>
        <w:ind w:left="720"/>
      </w:pPr>
      <w:r>
        <w:t xml:space="preserve">SEC-28 (Security Awareness) — Training at 68% completion; target 100% by June 2025</w:t>
      </w:r>
    </w:p>
    <w:p>
      <w:pPr>
        <w:pStyle w:val="Heading 3"/>
        <w:spacing w:after="150"/>
      </w:pPr>
      <w:r>
        <w:t xml:space="preserve">Planned Controls:</w:t>
      </w:r>
    </w:p>
    <w:p>
      <w:pPr>
        <w:spacing w:after="100"/>
        <w:ind w:left="720"/>
      </w:pPr>
      <w:r>
        <w:t xml:space="preserve">SEC-10 (Capacity Management) — Tool selection underway; implementation Q3 2025</w:t>
      </w:r>
    </w:p>
    <w:p>
      <w:pPr>
        <w:spacing w:after="300"/>
        <w:ind w:left="720"/>
      </w:pPr>
      <w:r>
        <w:t xml:space="preserve">SEC-22 (Data Retention) — Policy drafted; legal review pending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2026-02-15T07:30:09.396Z</dcterms:created>
  <dcterms:modified xsi:type="dcterms:W3CDTF">2026-02-15T07:30:09.396Z</dcterms:modified>
</cp:coreProperties>
</file>

<file path=docProps/custom.xml><?xml version="1.0" encoding="utf-8"?>
<Properties xmlns="http://schemas.openxmlformats.org/officeDocument/2006/custom-properties" xmlns:vt="http://schemas.openxmlformats.org/officeDocument/2006/docPropsVTypes"/>
</file>