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after="200"/>
        <w:jc w:val="center"/>
      </w:pPr>
      <w:r>
        <w:t xml:space="preserve">INFORMATION SECURITY POLICY</w:t>
      </w:r>
    </w:p>
    <w:p>
      <w:pPr>
        <w:spacing w:after="400"/>
        <w:jc w:val="center"/>
      </w:pPr>
      <w:r>
        <w:t xml:space="preserve">POL-001</w:t>
      </w:r>
    </w:p>
    <w:tbl>
      <w:tblPr>
        <w:tblW w:type="pct" w:w="100%"/>
        <w:tblBorders>
          <w:top w:val="single"/>
          <w:left w:val="single"/>
          <w:bottom w:val="single"/>
          <w:right w:val="single"/>
          <w:insideH w:val="single"/>
          <w:insideV w:val="single"/>
        </w:tblBorders>
      </w:tblPr>
      <w:tblGrid>
        <w:gridCol w:w="100"/>
        <w:gridCol w:w="100"/>
      </w:tblGrid>
      <w:tr>
        <w:tc>
          <w:tcPr>
            <w:tcW w:type="pct" w:w="30%"/>
            <w:shd w:fill="E8E8E8" w:val="clear"/>
          </w:tcPr>
          <w:p>
            <w:r>
              <w:t xml:space="preserve">Document ID</w:t>
            </w:r>
          </w:p>
        </w:tc>
        <w:tc>
          <w:tcPr>
            <w:tcW w:type="pct" w:w="70%"/>
          </w:tcPr>
          <w:p>
            <w:r>
              <w:t xml:space="preserve">POL-001</w:t>
            </w:r>
          </w:p>
        </w:tc>
      </w:tr>
      <w:tr>
        <w:tc>
          <w:tcPr>
            <w:tcW w:type="pct" w:w="30%"/>
            <w:shd w:fill="E8E8E8" w:val="clear"/>
          </w:tcPr>
          <w:p>
            <w:r>
              <w:t xml:space="preserve">Version</w:t>
            </w:r>
          </w:p>
        </w:tc>
        <w:tc>
          <w:tcPr>
            <w:tcW w:type="pct" w:w="70%"/>
          </w:tcPr>
          <w:p>
            <w:r>
              <w:t xml:space="preserve">3.1</w:t>
            </w:r>
          </w:p>
        </w:tc>
      </w:tr>
      <w:tr>
        <w:tc>
          <w:tcPr>
            <w:tcW w:type="pct" w:w="30%"/>
            <w:shd w:fill="E8E8E8" w:val="clear"/>
          </w:tcPr>
          <w:p>
            <w:r>
              <w:t xml:space="preserve">Owner</w:t>
            </w:r>
          </w:p>
        </w:tc>
        <w:tc>
          <w:tcPr>
            <w:tcW w:type="pct" w:w="70%"/>
          </w:tcPr>
          <w:p>
            <w:r>
              <w:t xml:space="preserve">David Chen, Chief Information Security Officer</w:t>
            </w:r>
          </w:p>
        </w:tc>
      </w:tr>
      <w:tr>
        <w:tc>
          <w:tcPr>
            <w:tcW w:type="pct" w:w="30%"/>
            <w:shd w:fill="E8E8E8" w:val="clear"/>
          </w:tcPr>
          <w:p>
            <w:r>
              <w:t xml:space="preserve">Approved By</w:t>
            </w:r>
          </w:p>
        </w:tc>
        <w:tc>
          <w:tcPr>
            <w:tcW w:type="pct" w:w="70%"/>
          </w:tcPr>
          <w:p>
            <w:r>
              <w:t xml:space="preserve">Margaret Thornton, Chief Executive Officer</w:t>
            </w:r>
          </w:p>
        </w:tc>
      </w:tr>
      <w:tr>
        <w:tc>
          <w:tcPr>
            <w:tcW w:type="pct" w:w="30%"/>
            <w:shd w:fill="E8E8E8" w:val="clear"/>
          </w:tcPr>
          <w:p>
            <w:r>
              <w:t xml:space="preserve">Approval Date</w:t>
            </w:r>
          </w:p>
        </w:tc>
        <w:tc>
          <w:tcPr>
            <w:tcW w:type="pct" w:w="70%"/>
          </w:tcPr>
          <w:p>
            <w:r>
              <w:t xml:space="preserve">15 March 2025</w:t>
            </w:r>
          </w:p>
        </w:tc>
      </w:tr>
      <w:tr>
        <w:tc>
          <w:tcPr>
            <w:tcW w:type="pct" w:w="30%"/>
            <w:shd w:fill="E8E8E8" w:val="clear"/>
          </w:tcPr>
          <w:p>
            <w:r>
              <w:t xml:space="preserve">Next Review Date</w:t>
            </w:r>
          </w:p>
        </w:tc>
        <w:tc>
          <w:tcPr>
            <w:tcW w:type="pct" w:w="70%"/>
          </w:tcPr>
          <w:p>
            <w:r>
              <w:t xml:space="preserve">15 March 2026</w:t>
            </w:r>
          </w:p>
        </w:tc>
      </w:tr>
    </w:tbl>
    <w:p>
      <w:pPr>
        <w:spacing w:line="240" w:after="400"/>
      </w:pPr>
    </w:p>
    <w:p>
      <w:pPr>
        <w:spacing w:after="200"/>
      </w:pPr>
      <w:r>
        <w:t xml:space="preserve">TABLE OF CONTENTS</w:t>
      </w:r>
    </w:p>
    <w:p>
      <w:pPr>
        <w:spacing w:after="100"/>
      </w:pPr>
      <w:r>
        <w:t xml:space="preserve">1. Purpose</w:t>
      </w:r>
    </w:p>
    <w:p>
      <w:pPr>
        <w:spacing w:after="100"/>
      </w:pPr>
      <w:r>
        <w:t xml:space="preserve">2. Scope</w:t>
      </w:r>
    </w:p>
    <w:p>
      <w:pPr>
        <w:spacing w:after="100"/>
      </w:pPr>
      <w:r>
        <w:t xml:space="preserve">3. Leadership Commitment</w:t>
      </w:r>
    </w:p>
    <w:p>
      <w:pPr>
        <w:spacing w:after="100"/>
      </w:pPr>
      <w:r>
        <w:t xml:space="preserve">4. Information Security Objectives</w:t>
      </w:r>
    </w:p>
    <w:p>
      <w:pPr>
        <w:spacing w:after="100"/>
      </w:pPr>
      <w:r>
        <w:t xml:space="preserve">5. Organisational Security</w:t>
      </w:r>
    </w:p>
    <w:p>
      <w:pPr>
        <w:spacing w:after="100"/>
      </w:pPr>
      <w:r>
        <w:t xml:space="preserve">6. People Security</w:t>
      </w:r>
    </w:p>
    <w:p>
      <w:pPr>
        <w:spacing w:after="100"/>
      </w:pPr>
      <w:r>
        <w:t xml:space="preserve">7. Technology Security</w:t>
      </w:r>
    </w:p>
    <w:p>
      <w:pPr>
        <w:spacing w:after="100"/>
      </w:pPr>
      <w:r>
        <w:t xml:space="preserve">8. Roles and Responsibilities</w:t>
      </w:r>
    </w:p>
    <w:p>
      <w:pPr>
        <w:spacing w:after="400"/>
      </w:pPr>
      <w:r>
        <w:t xml:space="preserve">9. Policy Review</w:t>
      </w:r>
    </w:p>
    <w:p>
      <w:r/>
    </w:p>
    <w:p>
      <w:pPr>
        <w:pStyle w:val="Heading1"/>
        <w:spacing w:after="200"/>
      </w:pPr>
      <w:r>
        <w:t xml:space="preserve">1. PURPOSE</w:t>
      </w:r>
    </w:p>
    <w:p>
      <w:pPr>
        <w:spacing w:line="240" w:after="200"/>
      </w:pPr>
      <w:r>
        <w:t xml:space="preserve">HorseInsure Pty Ltd is committed to protecting the confidentiality, integrity and availability of information assets across the organisation. This Information Security Policy establishes the framework through which we manage information security risks and maintain secure operations.</w:t>
      </w:r>
    </w:p>
    <w:p>
      <w:pPr>
        <w:spacing w:after="150"/>
      </w:pPr>
      <w:r>
        <w:t xml:space="preserve">The purpose of this policy is to:</w:t>
      </w:r>
    </w:p>
    <w:p>
      <w:pPr>
        <w:pStyle w:val="ListParagraph"/>
        <w:numPr>
          <w:ilvl w:val="0"/>
          <w:numId w:val="1"/>
        </w:numPr>
        <w:spacing w:after="100"/>
      </w:pPr>
      <w:r>
        <w:t xml:space="preserve">Establish clear information security principles and expectations</w:t>
      </w:r>
    </w:p>
    <w:p>
      <w:pPr>
        <w:pStyle w:val="ListParagraph"/>
        <w:numPr>
          <w:ilvl w:val="0"/>
          <w:numId w:val="1"/>
        </w:numPr>
        <w:spacing w:after="100"/>
      </w:pPr>
      <w:r>
        <w:t xml:space="preserve">Define security responsibilities across all roles and departments</w:t>
      </w:r>
    </w:p>
    <w:p>
      <w:pPr>
        <w:pStyle w:val="ListParagraph"/>
        <w:numPr>
          <w:ilvl w:val="0"/>
          <w:numId w:val="1"/>
        </w:numPr>
        <w:spacing w:after="100"/>
      </w:pPr>
      <w:r>
        <w:t xml:space="preserve">Protect client information including policy holder data and equine health records</w:t>
      </w:r>
    </w:p>
    <w:p>
      <w:pPr>
        <w:pStyle w:val="ListParagraph"/>
        <w:numPr>
          <w:ilvl w:val="0"/>
          <w:numId w:val="1"/>
        </w:numPr>
        <w:spacing w:after="100"/>
      </w:pPr>
      <w:r>
        <w:t xml:space="preserve">Ensure compliance with applicable Australian privacy and insurance regulations</w:t>
      </w:r>
    </w:p>
    <w:p>
      <w:pPr>
        <w:pStyle w:val="ListParagraph"/>
        <w:numPr>
          <w:ilvl w:val="0"/>
          <w:numId w:val="1"/>
        </w:numPr>
        <w:spacing w:after="200"/>
      </w:pPr>
      <w:r>
        <w:t xml:space="preserve">Minimise security incidents and their impact on business operations</w:t>
      </w:r>
    </w:p>
    <w:p>
      <w:pPr>
        <w:pStyle w:val="Heading1"/>
        <w:spacing w:after="200"/>
      </w:pPr>
      <w:r>
        <w:t xml:space="preserve">2. SCOPE</w:t>
      </w:r>
    </w:p>
    <w:p>
      <w:pPr>
        <w:spacing w:line="240" w:after="150"/>
      </w:pPr>
      <w:r>
        <w:t xml:space="preserve">This policy applies to all employees, contractors, consultants and third-party service providers who have access to HorseInsure information systems and data. This includes:</w:t>
      </w:r>
    </w:p>
    <w:p>
      <w:pPr>
        <w:pStyle w:val="ListParagraph"/>
        <w:numPr>
          <w:ilvl w:val="0"/>
          <w:numId w:val="1"/>
        </w:numPr>
        <w:spacing w:after="100"/>
      </w:pPr>
      <w:r>
        <w:t xml:space="preserve">All employees regardless of employment type (permanent, temporary, casual)</w:t>
      </w:r>
    </w:p>
    <w:p>
      <w:pPr>
        <w:pStyle w:val="ListParagraph"/>
        <w:numPr>
          <w:ilvl w:val="0"/>
          <w:numId w:val="1"/>
        </w:numPr>
        <w:spacing w:after="100"/>
      </w:pPr>
      <w:r>
        <w:t xml:space="preserve">Contractors and consultants with system access</w:t>
      </w:r>
    </w:p>
    <w:p>
      <w:pPr>
        <w:pStyle w:val="ListParagraph"/>
        <w:numPr>
          <w:ilvl w:val="0"/>
          <w:numId w:val="1"/>
        </w:numPr>
        <w:spacing w:after="100"/>
      </w:pPr>
      <w:r>
        <w:t xml:space="preserve">Third-party service providers (cloud providers, vendors, technology partners)</w:t>
      </w:r>
    </w:p>
    <w:p>
      <w:pPr>
        <w:pStyle w:val="ListParagraph"/>
        <w:numPr>
          <w:ilvl w:val="0"/>
          <w:numId w:val="1"/>
        </w:numPr>
        <w:spacing w:after="200"/>
      </w:pPr>
      <w:r>
        <w:t xml:space="preserve">All information assets (data, systems, networks, applications)</w:t>
      </w:r>
    </w:p>
    <w:p>
      <w:pPr>
        <w:pStyle w:val="Heading1"/>
        <w:spacing w:after="200"/>
      </w:pPr>
      <w:r>
        <w:t xml:space="preserve">3. LEADERSHIP COMMITMENT</w:t>
      </w:r>
    </w:p>
    <w:p>
      <w:pPr>
        <w:spacing w:line="240" w:after="150"/>
      </w:pPr>
      <w:r>
        <w:t xml:space="preserve">The Board of Directors and Executive Leadership at HorseInsure are committed to information security as a strategic business priority. This commitment includes:</w:t>
      </w:r>
    </w:p>
    <w:p>
      <w:pPr>
        <w:pStyle w:val="ListParagraph"/>
        <w:numPr>
          <w:ilvl w:val="0"/>
          <w:numId w:val="1"/>
        </w:numPr>
        <w:spacing w:after="100"/>
      </w:pPr>
      <w:r>
        <w:t xml:space="preserve">Allocating appropriate resources to information security initiatives and incident response</w:t>
      </w:r>
    </w:p>
    <w:p>
      <w:pPr>
        <w:pStyle w:val="ListParagraph"/>
        <w:numPr>
          <w:ilvl w:val="0"/>
          <w:numId w:val="1"/>
        </w:numPr>
        <w:spacing w:after="100"/>
      </w:pPr>
      <w:r>
        <w:t xml:space="preserve">Establishing security governance structures with clear accountability</w:t>
      </w:r>
    </w:p>
    <w:p>
      <w:pPr>
        <w:pStyle w:val="ListParagraph"/>
        <w:numPr>
          <w:ilvl w:val="0"/>
          <w:numId w:val="1"/>
        </w:numPr>
        <w:spacing w:after="100"/>
      </w:pPr>
      <w:r>
        <w:t xml:space="preserve">Promoting a security-aware culture across all levels of the organisation</w:t>
      </w:r>
    </w:p>
    <w:p>
      <w:pPr>
        <w:pStyle w:val="ListParagraph"/>
        <w:numPr>
          <w:ilvl w:val="0"/>
          <w:numId w:val="1"/>
        </w:numPr>
        <w:spacing w:after="200"/>
      </w:pPr>
      <w:r>
        <w:t xml:space="preserve">Ensuring senior management participation in security decision-making</w:t>
      </w:r>
    </w:p>
    <w:p>
      <w:pPr>
        <w:pStyle w:val="Heading1"/>
        <w:spacing w:after="200"/>
      </w:pPr>
      <w:r>
        <w:t xml:space="preserve">4. INFORMATION SECURITY OBJECTIVES</w:t>
      </w:r>
    </w:p>
    <w:p>
      <w:pPr>
        <w:spacing w:line="240" w:after="150"/>
      </w:pPr>
      <w:r>
        <w:t xml:space="preserve">HorseInsure pursues the following information security objectives:</w:t>
      </w:r>
    </w:p>
    <w:p>
      <w:pPr>
        <w:pStyle w:val="ListParagraph"/>
        <w:numPr>
          <w:ilvl w:val="0"/>
          <w:numId w:val="1"/>
        </w:numPr>
        <w:spacing w:after="100"/>
      </w:pPr>
      <w:r>
        <w:t xml:space="preserve">Confidentiality: Ensure information is accessible only to authorised parties. Prevent unauthorised access to sensitive client data, policy information and equine health records.</w:t>
      </w:r>
    </w:p>
    <w:p>
      <w:pPr>
        <w:pStyle w:val="ListParagraph"/>
        <w:numPr>
          <w:ilvl w:val="0"/>
          <w:numId w:val="1"/>
        </w:numPr>
        <w:spacing w:after="100"/>
      </w:pPr>
      <w:r>
        <w:t xml:space="preserve">Integrity: Maintain accuracy and completeness of information. Prevent unauthorised modification of claims data, premium calculations or underwriting records.</w:t>
      </w:r>
    </w:p>
    <w:p>
      <w:pPr>
        <w:pStyle w:val="ListParagraph"/>
        <w:numPr>
          <w:ilvl w:val="0"/>
          <w:numId w:val="1"/>
        </w:numPr>
        <w:spacing w:after="200"/>
      </w:pPr>
      <w:r>
        <w:t xml:space="preserve">Availability: Ensure information systems and data are accessible when required for business operations. Maintain service availability for policy administration and claims processing.</w:t>
      </w:r>
    </w:p>
    <w:p>
      <w:pPr>
        <w:pStyle w:val="Heading1"/>
        <w:spacing w:after="200"/>
      </w:pPr>
      <w:r>
        <w:t xml:space="preserve">5. ORGANISATIONAL SECURITY</w:t>
      </w:r>
    </w:p>
    <w:p>
      <w:pPr>
        <w:spacing w:line="240" w:after="150"/>
      </w:pPr>
      <w:r>
        <w:t xml:space="preserve">Information security governance is integrated with overall business management. The organisation establishes and maintains:</w:t>
      </w:r>
    </w:p>
    <w:p>
      <w:pPr>
        <w:pStyle w:val="ListParagraph"/>
        <w:numPr>
          <w:ilvl w:val="0"/>
          <w:numId w:val="1"/>
        </w:numPr>
        <w:spacing w:after="100"/>
      </w:pPr>
      <w:r>
        <w:t xml:space="preserve">Information Security Steering Committee: Chaired by the Chief Information Security Officer, including representatives from IT, Compliance, Risk, Operations and Claims departments. Meets quarterly to review security strategy, incidents and performance metrics.</w:t>
      </w:r>
    </w:p>
    <w:p>
      <w:pPr>
        <w:pStyle w:val="ListParagraph"/>
        <w:numPr>
          <w:ilvl w:val="0"/>
          <w:numId w:val="1"/>
        </w:numPr>
        <w:spacing w:after="100"/>
      </w:pPr>
      <w:r>
        <w:t xml:space="preserve">Security Policies and Standards: Documented controls addressing information classification, access control, encryption, incident management and third-party risk management.</w:t>
      </w:r>
    </w:p>
    <w:p>
      <w:pPr>
        <w:pStyle w:val="ListParagraph"/>
        <w:numPr>
          <w:ilvl w:val="0"/>
          <w:numId w:val="1"/>
        </w:numPr>
        <w:spacing w:after="100"/>
      </w:pPr>
      <w:r>
        <w:t xml:space="preserve">Risk Assessment Processes: Annual comprehensive information security risk assessments identifying threats and vulnerabilities across all business processes.</w:t>
      </w:r>
    </w:p>
    <w:p>
      <w:pPr>
        <w:pStyle w:val="ListParagraph"/>
        <w:numPr>
          <w:ilvl w:val="0"/>
          <w:numId w:val="1"/>
        </w:numPr>
        <w:spacing w:after="200"/>
      </w:pPr>
      <w:r>
        <w:t xml:space="preserve">Asset Management: Inventory and management of information assets including hardware, software and data repositories.</w:t>
      </w:r>
    </w:p>
    <w:p>
      <w:pPr>
        <w:pStyle w:val="Heading1"/>
        <w:spacing w:after="200"/>
      </w:pPr>
      <w:r>
        <w:t xml:space="preserve">6. PEOPLE SECURITY</w:t>
      </w:r>
    </w:p>
    <w:p>
      <w:pPr>
        <w:spacing w:line="240" w:after="150"/>
      </w:pPr>
      <w:r>
        <w:t xml:space="preserve">Personnel security measures are implemented throughout the employment lifecycle:</w:t>
      </w:r>
    </w:p>
    <w:p>
      <w:pPr>
        <w:pStyle w:val="ListParagraph"/>
        <w:numPr>
          <w:ilvl w:val="0"/>
          <w:numId w:val="1"/>
        </w:numPr>
        <w:spacing w:after="100"/>
      </w:pPr>
      <w:r>
        <w:t xml:space="preserve">Recruitment and Screening: Background checks and reference verification for all new employees and contractors with access to sensitive information.</w:t>
      </w:r>
    </w:p>
    <w:p>
      <w:pPr>
        <w:pStyle w:val="ListParagraph"/>
        <w:numPr>
          <w:ilvl w:val="0"/>
          <w:numId w:val="1"/>
        </w:numPr>
        <w:spacing w:after="100"/>
      </w:pPr>
      <w:r>
        <w:t xml:space="preserve">Security Awareness Training: All employees receive mandatory information security training within 30 days of commencement and annually thereafter. Training covers password management, phishing awareness, data handling and incident reporting.</w:t>
      </w:r>
    </w:p>
    <w:p>
      <w:pPr>
        <w:pStyle w:val="ListParagraph"/>
        <w:numPr>
          <w:ilvl w:val="0"/>
          <w:numId w:val="1"/>
        </w:numPr>
        <w:spacing w:after="100"/>
      </w:pPr>
      <w:r>
        <w:t xml:space="preserve">Confidentiality and Non-disclosure: Formal agreements signed by all employees and contractors defining obligations for information protection and consequences of breach.</w:t>
      </w:r>
    </w:p>
    <w:p>
      <w:pPr>
        <w:pStyle w:val="ListParagraph"/>
        <w:numPr>
          <w:ilvl w:val="0"/>
          <w:numId w:val="1"/>
        </w:numPr>
        <w:spacing w:after="100"/>
      </w:pPr>
      <w:r>
        <w:t xml:space="preserve">Role-based Access Control: Access to systems and data is restricted to minimum necessary for role performance. Access reviews conducted annually.</w:t>
      </w:r>
    </w:p>
    <w:p>
      <w:pPr>
        <w:pStyle w:val="ListParagraph"/>
        <w:numPr>
          <w:ilvl w:val="0"/>
          <w:numId w:val="1"/>
        </w:numPr>
        <w:spacing w:after="200"/>
      </w:pPr>
      <w:r>
        <w:t xml:space="preserve">Privileged Access Management: Privileged accounts for systems administrators and database administrators are managed separately with enhanced controls including multi-factor authentication.</w:t>
      </w:r>
    </w:p>
    <w:p>
      <w:pPr>
        <w:pStyle w:val="Heading1"/>
        <w:spacing w:after="200"/>
      </w:pPr>
      <w:r>
        <w:t xml:space="preserve">7. TECHNOLOGY SECURITY</w:t>
      </w:r>
    </w:p>
    <w:p>
      <w:pPr>
        <w:spacing w:line="240" w:after="150"/>
      </w:pPr>
      <w:r>
        <w:t xml:space="preserve">Technical controls protect information systems and data:</w:t>
      </w:r>
    </w:p>
    <w:p>
      <w:pPr>
        <w:pStyle w:val="ListParagraph"/>
        <w:numPr>
          <w:ilvl w:val="0"/>
          <w:numId w:val="1"/>
        </w:numPr>
        <w:spacing w:after="100"/>
      </w:pPr>
      <w:r>
        <w:t xml:space="preserve">Network Security: Firewalls, intrusion detection/prevention systems and network segmentation protect against unauthorised access. Regular network assessments identify vulnerabilities.</w:t>
      </w:r>
    </w:p>
    <w:p>
      <w:pPr>
        <w:pStyle w:val="ListParagraph"/>
        <w:numPr>
          <w:ilvl w:val="0"/>
          <w:numId w:val="1"/>
        </w:numPr>
        <w:spacing w:after="100"/>
      </w:pPr>
      <w:r>
        <w:t xml:space="preserve">Encryption: Sensitive data at rest in databases and storage systems is encrypted using AES-256. Data in transit over networks uses TLS 1.2 minimum. Policy holder PII and equine health data receive encryption protection.</w:t>
      </w:r>
    </w:p>
    <w:p>
      <w:pPr>
        <w:pStyle w:val="ListParagraph"/>
        <w:numPr>
          <w:ilvl w:val="0"/>
          <w:numId w:val="1"/>
        </w:numPr>
        <w:spacing w:after="100"/>
      </w:pPr>
      <w:r>
        <w:t xml:space="preserve">Patch Management: Security patches for operating systems, applications and firmware are tested and deployed within 30 days of release for critical vulnerabilities and 90 days for non-critical.</w:t>
      </w:r>
    </w:p>
    <w:p>
      <w:pPr>
        <w:pStyle w:val="ListParagraph"/>
        <w:numPr>
          <w:ilvl w:val="0"/>
          <w:numId w:val="1"/>
        </w:numPr>
        <w:spacing w:after="100"/>
      </w:pPr>
      <w:r>
        <w:t xml:space="preserve">Endpoint Protection: All desktop and laptop computers have anti-malware and endpoint detection and response tools installed and updated.</w:t>
      </w:r>
    </w:p>
    <w:p>
      <w:pPr>
        <w:pStyle w:val="ListParagraph"/>
        <w:numPr>
          <w:ilvl w:val="0"/>
          <w:numId w:val="1"/>
        </w:numPr>
        <w:spacing w:after="200"/>
      </w:pPr>
      <w:r>
        <w:t xml:space="preserve">Backup and Recovery: Daily backups of critical systems and data are maintained with encrypted storage. Recovery testing is performed quarterly.</w:t>
      </w:r>
    </w:p>
    <w:p>
      <w:pPr>
        <w:pStyle w:val="Heading1"/>
        <w:spacing w:after="200"/>
      </w:pPr>
      <w:r>
        <w:t xml:space="preserve">8. ROLES AND RESPONSIBILITIES</w:t>
      </w:r>
    </w:p>
    <w:p>
      <w:pPr>
        <w:spacing w:after="100"/>
      </w:pPr>
      <w:r>
        <w:t xml:space="preserve">Board and Executive Leadership:</w:t>
      </w:r>
    </w:p>
    <w:p>
      <w:pPr>
        <w:pStyle w:val="ListParagraph"/>
        <w:numPr>
          <w:ilvl w:val="1"/>
          <w:numId w:val="1"/>
        </w:numPr>
        <w:spacing w:after="80"/>
      </w:pPr>
      <w:r>
        <w:t xml:space="preserve">Provide strategic direction and governance for information security</w:t>
      </w:r>
    </w:p>
    <w:p>
      <w:pPr>
        <w:pStyle w:val="ListParagraph"/>
        <w:numPr>
          <w:ilvl w:val="1"/>
          <w:numId w:val="1"/>
        </w:numPr>
        <w:spacing w:after="80"/>
      </w:pPr>
      <w:r>
        <w:t xml:space="preserve">Allocate resources for security initiatives</w:t>
      </w:r>
    </w:p>
    <w:p>
      <w:pPr>
        <w:pStyle w:val="ListParagraph"/>
        <w:numPr>
          <w:ilvl w:val="1"/>
          <w:numId w:val="1"/>
        </w:numPr>
        <w:spacing w:after="150"/>
      </w:pPr>
      <w:r>
        <w:t xml:space="preserve">Review quarterly security performance reports</w:t>
      </w:r>
    </w:p>
    <w:p>
      <w:pPr>
        <w:spacing w:after="100"/>
      </w:pPr>
      <w:r>
        <w:t xml:space="preserve">Chief Information Security Officer (David Chen):</w:t>
      </w:r>
    </w:p>
    <w:p>
      <w:pPr>
        <w:pStyle w:val="ListParagraph"/>
        <w:numPr>
          <w:ilvl w:val="1"/>
          <w:numId w:val="1"/>
        </w:numPr>
        <w:spacing w:after="80"/>
      </w:pPr>
      <w:r>
        <w:t xml:space="preserve">Develop and maintain information security policies and standards</w:t>
      </w:r>
    </w:p>
    <w:p>
      <w:pPr>
        <w:pStyle w:val="ListParagraph"/>
        <w:numPr>
          <w:ilvl w:val="1"/>
          <w:numId w:val="1"/>
        </w:numPr>
        <w:spacing w:after="80"/>
      </w:pPr>
      <w:r>
        <w:t xml:space="preserve">Oversee security risk assessment and treatment programs</w:t>
      </w:r>
    </w:p>
    <w:p>
      <w:pPr>
        <w:pStyle w:val="ListParagraph"/>
        <w:numPr>
          <w:ilvl w:val="1"/>
          <w:numId w:val="1"/>
        </w:numPr>
        <w:spacing w:after="150"/>
      </w:pPr>
      <w:r>
        <w:t xml:space="preserve">Manage incident response and reporting</w:t>
      </w:r>
    </w:p>
    <w:p>
      <w:pPr>
        <w:spacing w:after="100"/>
      </w:pPr>
      <w:r>
        <w:t xml:space="preserve">IT Security Team (under Sarah Williams, Head of IT):</w:t>
      </w:r>
    </w:p>
    <w:p>
      <w:pPr>
        <w:pStyle w:val="ListParagraph"/>
        <w:numPr>
          <w:ilvl w:val="1"/>
          <w:numId w:val="1"/>
        </w:numPr>
        <w:spacing w:after="80"/>
      </w:pPr>
      <w:r>
        <w:t xml:space="preserve">Implement technical security controls and standards</w:t>
      </w:r>
    </w:p>
    <w:p>
      <w:pPr>
        <w:pStyle w:val="ListParagraph"/>
        <w:numPr>
          <w:ilvl w:val="1"/>
          <w:numId w:val="1"/>
        </w:numPr>
        <w:spacing w:after="80"/>
      </w:pPr>
      <w:r>
        <w:t xml:space="preserve">Manage access controls and privileged accounts</w:t>
      </w:r>
    </w:p>
    <w:p>
      <w:pPr>
        <w:pStyle w:val="ListParagraph"/>
        <w:numPr>
          <w:ilvl w:val="1"/>
          <w:numId w:val="1"/>
        </w:numPr>
        <w:spacing w:after="150"/>
      </w:pPr>
      <w:r>
        <w:t xml:space="preserve">Conduct security monitoring and incident investigation</w:t>
      </w:r>
    </w:p>
    <w:p>
      <w:pPr>
        <w:spacing w:after="100"/>
      </w:pPr>
      <w:r>
        <w:t xml:space="preserve">All Employees:</w:t>
      </w:r>
    </w:p>
    <w:p>
      <w:pPr>
        <w:pStyle w:val="ListParagraph"/>
        <w:numPr>
          <w:ilvl w:val="1"/>
          <w:numId w:val="1"/>
        </w:numPr>
        <w:spacing w:after="80"/>
      </w:pPr>
      <w:r>
        <w:t xml:space="preserve">Comply with information security policies and controls</w:t>
      </w:r>
    </w:p>
    <w:p>
      <w:pPr>
        <w:pStyle w:val="ListParagraph"/>
        <w:numPr>
          <w:ilvl w:val="1"/>
          <w:numId w:val="1"/>
        </w:numPr>
        <w:spacing w:after="80"/>
      </w:pPr>
      <w:r>
        <w:t xml:space="preserve">Complete mandatory security awareness training</w:t>
      </w:r>
    </w:p>
    <w:p>
      <w:pPr>
        <w:pStyle w:val="ListParagraph"/>
        <w:numPr>
          <w:ilvl w:val="1"/>
          <w:numId w:val="1"/>
        </w:numPr>
        <w:spacing w:after="200"/>
      </w:pPr>
      <w:r>
        <w:t xml:space="preserve">Report suspected security incidents immediately</w:t>
      </w:r>
    </w:p>
    <w:p>
      <w:pPr>
        <w:pStyle w:val="Heading1"/>
        <w:spacing w:after="200"/>
      </w:pPr>
      <w:r>
        <w:t xml:space="preserve">9. POLICY REVIEW</w:t>
      </w:r>
    </w:p>
    <w:p>
      <w:pPr>
        <w:spacing w:line="240" w:after="200"/>
      </w:pPr>
      <w:r>
        <w:t xml:space="preserve">This policy is reviewed annually or when significant changes to security requirements or business operations occur. The next scheduled review date is 15 March 2026.</w:t>
      </w:r>
    </w:p>
    <w:p>
      <w:pPr>
        <w:spacing w:line="240" italics="true"/>
      </w:pPr>
      <w:r>
        <w:t xml:space="preserve">For questions regarding this policy, contact the Chief Information Security Officer at david.chen@horseinsure.com.au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right w:val="none"/>
        <w:insideH w:val="none"/>
        <w:insideV w:val="none"/>
      </w:tblBorders>
    </w:tblPr>
    <w:tblGrid>
      <w:gridCol w:w="100"/>
      <w:gridCol w:w="100"/>
    </w:tblGrid>
    <w:tr>
      <w:tc>
        <w:tcPr>
          <w:tcW w:type="pct" w:w="50%"/>
        </w:tcPr>
        <w:p>
          <w:r>
            <w:t xml:space="preserve">HorseInsure Pty Ltd</w:t>
          </w:r>
        </w:p>
      </w:tc>
      <w:tc>
        <w:tcPr>
          <w:tcW w:type="pct" w:w="50%"/>
        </w:tcPr>
        <w:p>
          <w:r>
            <w:t xml:space="preserve">ABN 41 209 837 156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2026-02-15T07:22:11.796Z</dcterms:created>
  <dcterms:modified xsi:type="dcterms:W3CDTF">2026-02-15T07:22:11.797Z</dcterms:modified>
</cp:coreProperties>
</file>

<file path=docProps/custom.xml><?xml version="1.0" encoding="utf-8"?>
<Properties xmlns="http://schemas.openxmlformats.org/officeDocument/2006/custom-properties" xmlns:vt="http://schemas.openxmlformats.org/officeDocument/2006/docPropsVTypes"/>
</file>