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t xml:space="preserve">HUMAN RESOURCES SECURITY POLICY</w:t>
      </w:r>
    </w:p>
    <w:p>
      <w:pPr>
        <w:pStyle w:val="Heading1"/>
        <w:spacing w:before="200" w:after="200"/>
      </w:pPr>
      <w:r>
        <w:t xml:space="preserve">Policy Control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shd w:fill="E7E6E6" w:val="clear"/>
          </w:tcPr>
          <w:p>
            <w:r>
              <w:t xml:space="preserve">Document ID</w:t>
            </w:r>
          </w:p>
        </w:tc>
        <w:tc>
          <w:tcPr>
            <w:tcW w:type="dxa" w:w="4000"/>
          </w:tcPr>
          <w:p>
            <w:r>
              <w:t xml:space="preserve">POL-008</w:t>
            </w:r>
          </w:p>
        </w:tc>
        <w:tc>
          <w:tcPr>
            <w:tcW w:type="dxa" w:w="2000"/>
            <w:shd w:fill="E7E6E6" w:val="clear"/>
          </w:tcPr>
          <w:p>
            <w:r>
              <w:t xml:space="preserve">Version</w:t>
            </w:r>
          </w:p>
        </w:tc>
        <w:tc>
          <w:tcPr>
            <w:tcW w:type="dxa" w:w="4000"/>
          </w:tcPr>
          <w:p>
            <w:r>
              <w:t xml:space="preserve">2.0</w:t>
            </w:r>
          </w:p>
        </w:tc>
      </w:tr>
      <w:tr>
        <w:tc>
          <w:tcPr>
            <w:tcW w:type="dxa" w:w="2000"/>
            <w:shd w:fill="E7E6E6" w:val="clear"/>
          </w:tcPr>
          <w:p>
            <w:r>
              <w:t xml:space="preserve">Policy Owner</w:t>
            </w:r>
          </w:p>
        </w:tc>
        <w:tc>
          <w:tcPr>
            <w:tcW w:type="dxa" w:w="4000"/>
          </w:tcPr>
          <w:p>
            <w:r>
              <w:t xml:space="preserve">James O'Brien, Head of HR</w:t>
            </w:r>
          </w:p>
        </w:tc>
        <w:tc>
          <w:tcPr>
            <w:tcW w:type="dxa" w:w="2000"/>
            <w:shd w:fill="E7E6E6" w:val="clear"/>
          </w:tcPr>
          <w:p>
            <w:r>
              <w:t xml:space="preserve">Approved By</w:t>
            </w:r>
          </w:p>
        </w:tc>
        <w:tc>
          <w:tcPr>
            <w:tcW w:type="dxa" w:w="4000"/>
          </w:tcPr>
          <w:p>
            <w:r>
              <w:t xml:space="preserve">Margaret Thornton, CEO</w:t>
            </w:r>
          </w:p>
        </w:tc>
      </w:tr>
      <w:tr>
        <w:tc>
          <w:tcPr>
            <w:tcW w:type="dxa" w:w="2000"/>
            <w:shd w:fill="E7E6E6" w:val="clear"/>
          </w:tcPr>
          <w:p>
            <w:r>
              <w:t xml:space="preserve">Approval Date</w:t>
            </w:r>
          </w:p>
        </w:tc>
        <w:tc>
          <w:tcPr>
            <w:tcW w:type="dxa" w:w="4000"/>
          </w:tcPr>
          <w:p>
            <w:r>
              <w:t xml:space="preserve">22 February 2025</w:t>
            </w:r>
          </w:p>
        </w:tc>
        <w:tc>
          <w:tcPr>
            <w:tcW w:type="dxa" w:w="2000"/>
            <w:shd w:fill="E7E6E6" w:val="clear"/>
          </w:tcPr>
          <w:p>
            <w:r>
              <w:t xml:space="preserve">Next Review</w:t>
            </w:r>
          </w:p>
        </w:tc>
        <w:tc>
          <w:tcPr>
            <w:tcW w:type="dxa" w:w="4000"/>
          </w:tcPr>
          <w:p>
            <w:r>
              <w:t xml:space="preserve">22 February 2026</w:t>
            </w:r>
          </w:p>
        </w:tc>
      </w:tr>
    </w:tbl>
    <w:p>
      <w:pPr>
        <w:pStyle w:val="Heading1"/>
        <w:spacing w:before="300" w:after="200"/>
      </w:pPr>
      <w:r>
        <w:t xml:space="preserve">1. Purpose</w:t>
      </w:r>
    </w:p>
    <w:p>
      <w:pPr>
        <w:spacing w:after="200"/>
      </w:pPr>
      <w:r>
        <w:t xml:space="preserve">This policy establishes security requirements for human resources processes at HorseInsure Pty Ltd. It outlines standards for screening, employment arrangements, security awareness, and termination procedures to ensure that personnel and their associated activities do not compromise the confidentiality, integrity, or availability of our information assets.</w:t>
      </w:r>
    </w:p>
    <w:p>
      <w:pPr>
        <w:pStyle w:val="Heading1"/>
        <w:spacing w:before="300" w:after="200"/>
      </w:pPr>
      <w:r>
        <w:t xml:space="preserve">2. Scope</w:t>
      </w:r>
    </w:p>
    <w:p>
      <w:pPr>
        <w:spacing w:after="200"/>
      </w:pPr>
      <w:r>
        <w:t xml:space="preserve">This policy applies to all employees, contractors, temporary staff, consultants, and other third parties who have access to HorseInsure systems, facilities, or sensitive information. This includes staff working at our Sydney CBD office (Level 12, 45 Pitt Street), Dubbo regional office, and Scone warehouse.</w:t>
      </w:r>
    </w:p>
    <w:p>
      <w:pPr>
        <w:pStyle w:val="Heading1"/>
        <w:spacing w:before="300" w:after="200"/>
      </w:pPr>
      <w:r>
        <w:t xml:space="preserve">3. Pre-Employment Screening</w:t>
      </w:r>
    </w:p>
    <w:p>
      <w:pPr>
        <w:pStyle w:val="Heading2"/>
        <w:spacing w:before="200" w:after="150"/>
      </w:pPr>
      <w:r>
        <w:t xml:space="preserve">3.1 Background Checks</w:t>
      </w:r>
    </w:p>
    <w:p>
      <w:pPr>
        <w:spacing w:after="150"/>
      </w:pPr>
      <w:r>
        <w:t xml:space="preserve">All candidates for employment will undergo background checks commensurate with the role and access level. Background checks must include:</w:t>
      </w:r>
    </w:p>
    <w:p>
      <w:pPr>
        <w:spacing w:after="100"/>
        <w:ind w:left="400"/>
      </w:pPr>
      <w:r>
        <w:t xml:space="preserve">Identity verification through official documents</w:t>
      </w:r>
    </w:p>
    <w:p>
      <w:pPr>
        <w:spacing w:after="100"/>
        <w:ind w:left="400"/>
      </w:pPr>
      <w:r>
        <w:t xml:space="preserve">Employment history verification for the past five years</w:t>
      </w:r>
    </w:p>
    <w:p>
      <w:pPr>
        <w:spacing w:after="100"/>
        <w:ind w:left="400"/>
      </w:pPr>
      <w:r>
        <w:t xml:space="preserve">National Police Check (where candidate will have access to sensitive systems)</w:t>
      </w:r>
    </w:p>
    <w:p>
      <w:pPr>
        <w:spacing w:after="200"/>
        <w:ind w:left="400"/>
      </w:pPr>
      <w:r>
        <w:t xml:space="preserve">Professional references from previous employers</w:t>
      </w:r>
    </w:p>
    <w:p>
      <w:pPr>
        <w:pStyle w:val="Heading2"/>
        <w:spacing w:before="200" w:after="150"/>
      </w:pPr>
      <w:r>
        <w:t xml:space="preserve">3.2 Risk Classification</w:t>
      </w:r>
    </w:p>
    <w:p>
      <w:pPr>
        <w:spacing w:after="200"/>
      </w:pPr>
      <w:r>
        <w:t xml:space="preserve">Positions will be classified as low, medium, or high risk based on the level of access to sensitive information and systems. High-risk positions (such as IT security, claims processing, and underwriting) will require more extensive background checks, including referee interviews and verification of qualifications.</w:t>
      </w:r>
    </w:p>
    <w:p>
      <w:pPr>
        <w:pStyle w:val="Heading1"/>
        <w:spacing w:before="300" w:after="200"/>
      </w:pPr>
      <w:r>
        <w:t xml:space="preserve">4. During Employment</w:t>
      </w:r>
    </w:p>
    <w:p>
      <w:pPr>
        <w:pStyle w:val="Heading2"/>
        <w:spacing w:before="200" w:after="150"/>
      </w:pPr>
      <w:r>
        <w:t xml:space="preserve">4.1 Security Responsibilities in Job Descriptions</w:t>
      </w:r>
    </w:p>
    <w:p>
      <w:pPr>
        <w:spacing w:after="150"/>
      </w:pPr>
      <w:r>
        <w:t xml:space="preserve">All job descriptions must include specific security responsibilities relevant to the position. These include:</w:t>
      </w:r>
    </w:p>
    <w:p>
      <w:pPr>
        <w:spacing w:after="100"/>
        <w:ind w:left="400"/>
      </w:pPr>
      <w:r>
        <w:t xml:space="preserve">Compliance with the Information Security Policy</w:t>
      </w:r>
    </w:p>
    <w:p>
      <w:pPr>
        <w:spacing w:after="100"/>
        <w:ind w:left="400"/>
      </w:pPr>
      <w:r>
        <w:t xml:space="preserve">Protection of confidential and sensitive information</w:t>
      </w:r>
    </w:p>
    <w:p>
      <w:pPr>
        <w:spacing w:after="100"/>
        <w:ind w:left="400"/>
      </w:pPr>
      <w:r>
        <w:t xml:space="preserve">Timely reporting of security incidents</w:t>
      </w:r>
    </w:p>
    <w:p>
      <w:pPr>
        <w:spacing w:after="200"/>
        <w:ind w:left="400"/>
      </w:pPr>
      <w:r>
        <w:t xml:space="preserve">Completion of mandatory security awareness training</w:t>
      </w:r>
    </w:p>
    <w:p>
      <w:pPr>
        <w:pStyle w:val="Heading2"/>
        <w:spacing w:before="200" w:after="150"/>
      </w:pPr>
      <w:r>
        <w:t xml:space="preserve">4.2 Security Awareness Training</w:t>
      </w:r>
    </w:p>
    <w:p>
      <w:pPr>
        <w:spacing w:after="200"/>
      </w:pPr>
      <w:r>
        <w:t xml:space="preserve">All employees must complete security awareness training within the first month of employment. Annual refresher training is mandatory. Training covers data protection, password management, phishing awareness, and incident reporting. Completion of training is recorded by the HR Department and monitored by IT Security.</w:t>
      </w:r>
    </w:p>
    <w:p>
      <w:pPr>
        <w:pStyle w:val="Heading2"/>
        <w:spacing w:before="200" w:after="150"/>
      </w:pPr>
      <w:r>
        <w:t xml:space="preserve">4.3 Access Control and Authorization</w:t>
      </w:r>
    </w:p>
    <w:p>
      <w:pPr>
        <w:spacing w:after="200"/>
      </w:pPr>
      <w:r>
        <w:t xml:space="preserve">Access to systems and facilities must be formally authorized by management based on role requirements (principle of least privilege). Access requests must be submitted through the IT Service Portal. Authorization forms must include business justification and manager approval. Access will be reviewed quarterly and revoked when no longer required.</w:t>
      </w:r>
    </w:p>
    <w:p>
      <w:pPr>
        <w:pStyle w:val="Heading2"/>
        <w:spacing w:before="200" w:after="150"/>
      </w:pPr>
      <w:r>
        <w:t xml:space="preserve">4.4 Conduct and Disciplinary Procedures</w:t>
      </w:r>
    </w:p>
    <w:p>
      <w:pPr>
        <w:spacing w:after="200"/>
      </w:pPr>
      <w:r>
        <w:t xml:space="preserve">Employees found to have violated security policies may be subject to disciplinary procedures including warnings, suspension, or termination. All incidents will be investigated according to HorseInsure's Disciplinary Procedures. Security incidents involving potential criminal activity will be reported to law enforcement.</w:t>
      </w:r>
    </w:p>
    <w:p>
      <w:r>
        <w:t xml:space="preserve">Page break</w:t>
      </w:r>
      <w:r>
        <w:br w:type="page"/>
      </w:r>
    </w:p>
    <w:p>
      <w:pPr>
        <w:pStyle w:val="Heading1"/>
        <w:spacing w:before="300" w:after="200"/>
      </w:pPr>
      <w:r>
        <w:t xml:space="preserve">5. Termination of Employment</w:t>
      </w:r>
    </w:p>
    <w:p>
      <w:pPr>
        <w:pStyle w:val="Heading2"/>
        <w:spacing w:before="200" w:after="150"/>
      </w:pPr>
      <w:r>
        <w:t xml:space="preserve">5.1 Exit Procedures</w:t>
      </w:r>
    </w:p>
    <w:p>
      <w:pPr>
        <w:spacing w:after="150"/>
      </w:pPr>
      <w:r>
        <w:t xml:space="preserve">Termination of employment, whether voluntary or involuntary, requires immediate action to revoke access and secure company assets. The HR Department will coordinate with IT to ensure the following are completed within one business day of termination:</w:t>
      </w:r>
    </w:p>
    <w:p>
      <w:pPr>
        <w:spacing w:after="100"/>
        <w:ind w:left="400"/>
      </w:pPr>
      <w:r>
        <w:t xml:space="preserve">Disable network user accounts and email</w:t>
      </w:r>
    </w:p>
    <w:p>
      <w:pPr>
        <w:spacing w:after="100"/>
        <w:ind w:left="400"/>
      </w:pPr>
      <w:r>
        <w:t xml:space="preserve">Revoke physical access badges and keys</w:t>
      </w:r>
    </w:p>
    <w:p>
      <w:pPr>
        <w:spacing w:after="100"/>
        <w:ind w:left="400"/>
      </w:pPr>
      <w:r>
        <w:t xml:space="preserve">Collect all company equipment (laptop, mobile devices, access cards)</w:t>
      </w:r>
    </w:p>
    <w:p>
      <w:pPr>
        <w:spacing w:after="100"/>
        <w:ind w:left="400"/>
      </w:pPr>
      <w:r>
        <w:t xml:space="preserve">Conduct exit interview regarding information security and confidentiality obligations</w:t>
      </w:r>
    </w:p>
    <w:p>
      <w:pPr>
        <w:spacing w:after="200"/>
        <w:ind w:left="400"/>
      </w:pPr>
      <w:r>
        <w:t xml:space="preserve">Document return of all company-owned assets and data</w:t>
      </w:r>
    </w:p>
    <w:p>
      <w:pPr>
        <w:pStyle w:val="Heading2"/>
        <w:spacing w:before="200" w:after="150"/>
      </w:pPr>
      <w:r>
        <w:t xml:space="preserve">5.2 Return of Information and Assets</w:t>
      </w:r>
    </w:p>
    <w:p>
      <w:pPr>
        <w:spacing w:after="200"/>
      </w:pPr>
      <w:r>
        <w:t xml:space="preserve">Departing employees are responsible for returning all company property including laptops, mobile devices, documents, storage media, and physical access tokens. A detailed inventory checklist will be completed and signed by both the employee and HR representative. Any discrepancies will be reported to the Facilities Manager.</w:t>
      </w:r>
    </w:p>
    <w:p>
      <w:pPr>
        <w:pStyle w:val="Heading2"/>
        <w:spacing w:before="200" w:after="150"/>
      </w:pPr>
      <w:r>
        <w:t xml:space="preserve">5.3 Continuing Obligations</w:t>
      </w:r>
    </w:p>
    <w:p>
      <w:pPr>
        <w:spacing w:after="200"/>
      </w:pPr>
      <w:r>
        <w:t xml:space="preserve">Upon termination, employees remain bound by confidentiality and non-disclosure agreements. They are reminded that disclosure of HorseInsure's proprietary information, trade secrets, or customer data is prohibited and may result in legal action. Former employees shall not be granted any further access to HorseInsure systems or facilities.</w:t>
      </w:r>
    </w:p>
    <w:p>
      <w:pPr>
        <w:pStyle w:val="Heading1"/>
        <w:spacing w:before="300" w:after="200"/>
      </w:pPr>
      <w:r>
        <w:t xml:space="preserve">6. Contractor and Third-Party Personnel</w:t>
      </w:r>
    </w:p>
    <w:p>
      <w:pPr>
        <w:spacing w:after="200"/>
      </w:pPr>
      <w:r>
        <w:t xml:space="preserve">Contractors, consultants, and temporary staff must comply with this policy to the same extent as permanent employees. Contracts must include specific security requirements and confidentiality clauses. Access will be limited to the minimum required to perform contracted services and will be terminated immediately upon contract completion.</w:t>
      </w:r>
    </w:p>
    <w:p>
      <w:pPr>
        <w:pStyle w:val="Heading1"/>
        <w:spacing w:before="300" w:after="200"/>
      </w:pPr>
      <w:r>
        <w:t xml:space="preserve">7. Compliance and Monitoring</w:t>
      </w:r>
    </w:p>
    <w:p>
      <w:pPr>
        <w:spacing w:after="200"/>
      </w:pPr>
      <w:r>
        <w:t xml:space="preserve">HR will monitor compliance with this policy through regular audits of recruitment records, access control logs, and termination documentation. Any non-compliance will be reported to management. This policy will be reviewed annually and updated as required.</w:t>
      </w:r>
    </w:p>
    <w:p>
      <w:pPr>
        <w:pStyle w:val="Heading1"/>
        <w:spacing w:before="300" w:after="200"/>
      </w:pPr>
      <w:r>
        <w:t xml:space="preserve">8. Related Policies</w:t>
      </w:r>
    </w:p>
    <w:p>
      <w:pPr>
        <w:spacing w:after="150"/>
      </w:pPr>
      <w:r>
        <w:t xml:space="preserve">This policy should be read in conjunction with:</w:t>
      </w:r>
    </w:p>
    <w:p>
      <w:pPr>
        <w:spacing w:after="100"/>
        <w:ind w:left="400"/>
      </w:pPr>
      <w:r>
        <w:t xml:space="preserve">Information Security Policy</w:t>
      </w:r>
    </w:p>
    <w:p>
      <w:pPr>
        <w:spacing w:after="100"/>
        <w:ind w:left="400"/>
      </w:pPr>
      <w:r>
        <w:t xml:space="preserve">Privacy and Data Protection Policy</w:t>
      </w:r>
    </w:p>
    <w:p>
      <w:pPr>
        <w:spacing w:after="100"/>
        <w:ind w:left="400"/>
      </w:pPr>
      <w:r>
        <w:t xml:space="preserve">Code of Conduct</w:t>
      </w:r>
    </w:p>
    <w:p>
      <w:pPr>
        <w:spacing w:after="200"/>
        <w:ind w:left="400"/>
      </w:pPr>
      <w:r>
        <w:t xml:space="preserve">Disciplinary Procedures</w:t>
      </w:r>
    </w:p>
    <w:p>
      <w:pPr>
        <w:pStyle w:val="Heading1"/>
        <w:spacing w:before="300" w:after="200"/>
      </w:pPr>
      <w:r>
        <w:t xml:space="preserve">Document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E7E6E6" w:val="clear"/>
          </w:tcPr>
          <w:p>
            <w:r>
              <w:t xml:space="preserve">Version</w:t>
            </w:r>
          </w:p>
        </w:tc>
        <w:tc>
          <w:tcPr>
            <w:tcW w:type="dxa" w:w="2500"/>
            <w:shd w:fill="E7E6E6" w:val="clear"/>
          </w:tcPr>
          <w:p>
            <w:r>
              <w:t xml:space="preserve">Date</w:t>
            </w:r>
          </w:p>
        </w:tc>
        <w:tc>
          <w:tcPr>
            <w:tcW w:type="dxa" w:w="2500"/>
            <w:shd w:fill="E7E6E6" w:val="clear"/>
          </w:tcPr>
          <w:p>
            <w:r>
              <w:t xml:space="preserve">Author</w:t>
            </w:r>
          </w:p>
        </w:tc>
        <w:tc>
          <w:tcPr>
            <w:tcW w:type="dxa" w:w="3500"/>
            <w:shd w:fill="E7E6E6" w:val="clear"/>
          </w:tcPr>
          <w:p>
            <w:r>
              <w:t xml:space="preserve">Changes</w:t>
            </w:r>
          </w:p>
        </w:tc>
      </w:tr>
      <w:tr>
        <w:tc>
          <w:tcPr>
            <w:tcW w:type="dxa" w:w="1500"/>
          </w:tcPr>
          <w:p>
            <w:r>
              <w:t xml:space="preserve">1.0</w:t>
            </w:r>
          </w:p>
        </w:tc>
        <w:tc>
          <w:tcPr>
            <w:tcW w:type="dxa" w:w="2500"/>
          </w:tcPr>
          <w:p>
            <w:r>
              <w:t xml:space="preserve">15 March 2024</w:t>
            </w:r>
          </w:p>
        </w:tc>
        <w:tc>
          <w:tcPr>
            <w:tcW w:type="dxa" w:w="2500"/>
          </w:tcPr>
          <w:p>
            <w:r>
              <w:t xml:space="preserve">J. O'Brien</w:t>
            </w:r>
          </w:p>
        </w:tc>
        <w:tc>
          <w:tcPr>
            <w:tcW w:type="dxa" w:w="3500"/>
          </w:tcPr>
          <w:p>
            <w:r>
              <w:t xml:space="preserve">Initial release</w:t>
            </w:r>
          </w:p>
        </w:tc>
      </w:tr>
      <w:tr>
        <w:tc>
          <w:tcPr>
            <w:tcW w:type="dxa" w:w="1500"/>
          </w:tcPr>
          <w:p>
            <w:r>
              <w:t xml:space="preserve">2.0</w:t>
            </w:r>
          </w:p>
        </w:tc>
        <w:tc>
          <w:tcPr>
            <w:tcW w:type="dxa" w:w="2500"/>
          </w:tcPr>
          <w:p>
            <w:r>
              <w:t xml:space="preserve">22 Feb 2025</w:t>
            </w:r>
          </w:p>
        </w:tc>
        <w:tc>
          <w:tcPr>
            <w:tcW w:type="dxa" w:w="2500"/>
          </w:tcPr>
          <w:p>
            <w:r>
              <w:t xml:space="preserve">J. O'Brien</w:t>
            </w:r>
          </w:p>
        </w:tc>
        <w:tc>
          <w:tcPr>
            <w:tcW w:type="dxa" w:w="3500"/>
          </w:tcPr>
          <w:p>
            <w:r>
              <w:t xml:space="preserve">Enhanced background check requirements</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Page </w:t>
    </w:r>
    <w:r>
      <CURRENT>CURRENT</CURR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Pr>
        <w:p>
          <w:r>
            <w:t xml:space="preserve">HorseInsure Pty Ltd</w:t>
          </w:r>
        </w:p>
        <w:p>
          <w:r>
            <w:t xml:space="preserve">ABN 41 209 837 156</w:t>
          </w:r>
        </w:p>
      </w:tc>
      <w:tc>
        <w:tcPr>
          <w:tcW w:type="dxa" w:w="3000"/>
        </w:tcPr>
        <w:p>
          <w:pPr>
            <w:jc w:val="right"/>
          </w:pPr>
          <w:r>
            <w:t xml:space="preserve">Human Resources Security Policy</w:t>
          </w:r>
        </w:p>
        <w:p>
          <w:pPr>
            <w:jc w:val="right"/>
          </w:pPr>
          <w:r>
            <w:t xml:space="preserve">POL-008</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2026-02-15T07:22:14.106Z</dcterms:created>
  <dcterms:modified xsi:type="dcterms:W3CDTF">2026-02-15T07:22:14.106Z</dcterms:modified>
</cp:coreProperties>
</file>

<file path=docProps/custom.xml><?xml version="1.0" encoding="utf-8"?>
<Properties xmlns="http://schemas.openxmlformats.org/officeDocument/2006/custom-properties" xmlns:vt="http://schemas.openxmlformats.org/officeDocument/2006/docPropsVTypes"/>
</file>