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p>
    <w:p>
      <w:pPr>
        <w:spacing w:after="200"/>
        <w:jc w:val="center"/>
      </w:pPr>
      <w:r>
        <w:t xml:space="preserve">INCIDENT MANAGEMENT POLICY</w:t>
      </w:r>
    </w:p>
    <w:p>
      <w:pPr>
        <w:spacing w:after="400"/>
        <w:jc w:val="center"/>
      </w:pPr>
      <w:r>
        <w:t xml:space="preserve">POL-006</w:t>
      </w:r>
    </w:p>
    <w:tbl>
      <w:tblPr>
        <w:tblW w:type="pct" w:w="100%"/>
        <w:tblBorders>
          <w:top w:val="single"/>
          <w:left w:val="single"/>
          <w:bottom w:val="single"/>
          <w:right w:val="single"/>
          <w:insideH w:val="single"/>
          <w:insideV w:val="single"/>
        </w:tblBorders>
      </w:tblPr>
      <w:tblGrid>
        <w:gridCol w:w="100"/>
        <w:gridCol w:w="100"/>
      </w:tblGrid>
      <w:tr>
        <w:tc>
          <w:tcPr>
            <w:tcW w:type="pct" w:w="30%"/>
            <w:shd w:fill="E8E8E8" w:val="clear"/>
          </w:tcPr>
          <w:p>
            <w:r>
              <w:t xml:space="preserve">Document ID</w:t>
            </w:r>
          </w:p>
        </w:tc>
        <w:tc>
          <w:tcPr>
            <w:tcW w:type="pct" w:w="70%"/>
          </w:tcPr>
          <w:p>
            <w:r>
              <w:t xml:space="preserve">POL-006</w:t>
            </w:r>
          </w:p>
        </w:tc>
      </w:tr>
      <w:tr>
        <w:tc>
          <w:tcPr>
            <w:tcW w:type="pct" w:w="30%"/>
            <w:shd w:fill="E8E8E8" w:val="clear"/>
          </w:tcPr>
          <w:p>
            <w:r>
              <w:t xml:space="preserve">Version</w:t>
            </w:r>
          </w:p>
        </w:tc>
        <w:tc>
          <w:tcPr>
            <w:tcW w:type="pct" w:w="70%"/>
          </w:tcPr>
          <w:p>
            <w:r>
              <w:t xml:space="preserve">1.5</w:t>
            </w:r>
          </w:p>
        </w:tc>
      </w:tr>
      <w:tr>
        <w:tc>
          <w:tcPr>
            <w:tcW w:type="pct" w:w="30%"/>
            <w:shd w:fill="E8E8E8" w:val="clear"/>
          </w:tcPr>
          <w:p>
            <w:r>
              <w:t xml:space="preserve">Owner</w:t>
            </w:r>
          </w:p>
        </w:tc>
        <w:tc>
          <w:tcPr>
            <w:tcW w:type="pct" w:w="70%"/>
          </w:tcPr>
          <w:p>
            <w:r>
              <w:t xml:space="preserve">David Chen, Chief Information Security Officer</w:t>
            </w:r>
          </w:p>
        </w:tc>
      </w:tr>
      <w:tr>
        <w:tc>
          <w:tcPr>
            <w:tcW w:type="pct" w:w="30%"/>
            <w:shd w:fill="E8E8E8" w:val="clear"/>
          </w:tcPr>
          <w:p>
            <w:r>
              <w:t xml:space="preserve">Approved By</w:t>
            </w:r>
          </w:p>
        </w:tc>
        <w:tc>
          <w:tcPr>
            <w:tcW w:type="pct" w:w="70%"/>
          </w:tcPr>
          <w:p>
            <w:r>
              <w:t xml:space="preserve">Margaret Thornton, Chief Executive Officer</w:t>
            </w:r>
          </w:p>
        </w:tc>
      </w:tr>
      <w:tr>
        <w:tc>
          <w:tcPr>
            <w:tcW w:type="pct" w:w="30%"/>
            <w:shd w:fill="E8E8E8" w:val="clear"/>
          </w:tcPr>
          <w:p>
            <w:r>
              <w:t xml:space="preserve">Approval Date</w:t>
            </w:r>
          </w:p>
        </w:tc>
        <w:tc>
          <w:tcPr>
            <w:tcW w:type="pct" w:w="70%"/>
          </w:tcPr>
          <w:p>
            <w:r>
              <w:t xml:space="preserve">12 August 2025</w:t>
            </w:r>
          </w:p>
        </w:tc>
      </w:tr>
      <w:tr>
        <w:tc>
          <w:tcPr>
            <w:tcW w:type="pct" w:w="30%"/>
            <w:shd w:fill="E8E8E8" w:val="clear"/>
          </w:tcPr>
          <w:p>
            <w:r>
              <w:t xml:space="preserve">Next Review Date</w:t>
            </w:r>
          </w:p>
        </w:tc>
        <w:tc>
          <w:tcPr>
            <w:tcW w:type="pct" w:w="70%"/>
          </w:tcPr>
          <w:p>
            <w:r>
              <w:t xml:space="preserve">12 August 2026</w:t>
            </w:r>
          </w:p>
        </w:tc>
      </w:tr>
    </w:tbl>
    <w:p>
      <w:pPr>
        <w:spacing w:line="240" w:after="400"/>
      </w:pPr>
    </w:p>
    <w:p>
      <w:pPr>
        <w:spacing w:after="200"/>
      </w:pPr>
      <w:r>
        <w:t xml:space="preserve">TABLE OF CONTENTS</w:t>
      </w:r>
    </w:p>
    <w:p>
      <w:pPr>
        <w:spacing w:after="100"/>
      </w:pPr>
      <w:r>
        <w:t xml:space="preserve">1. Purpose</w:t>
      </w:r>
    </w:p>
    <w:p>
      <w:pPr>
        <w:spacing w:after="100"/>
      </w:pPr>
      <w:r>
        <w:t xml:space="preserve">2. Scope</w:t>
      </w:r>
    </w:p>
    <w:p>
      <w:pPr>
        <w:spacing w:after="100"/>
      </w:pPr>
      <w:r>
        <w:t xml:space="preserve">3. Incident Categories</w:t>
      </w:r>
    </w:p>
    <w:p>
      <w:pPr>
        <w:spacing w:after="100"/>
      </w:pPr>
      <w:r>
        <w:t xml:space="preserve">4. Incident Severity Levels</w:t>
      </w:r>
    </w:p>
    <w:p>
      <w:pPr>
        <w:spacing w:after="100"/>
      </w:pPr>
      <w:r>
        <w:t xml:space="preserve">5. Incident Reporting</w:t>
      </w:r>
    </w:p>
    <w:p>
      <w:pPr>
        <w:spacing w:after="100"/>
      </w:pPr>
      <w:r>
        <w:t xml:space="preserve">6. Escalation Matrix</w:t>
      </w:r>
    </w:p>
    <w:p>
      <w:pPr>
        <w:spacing w:after="100"/>
      </w:pPr>
      <w:r>
        <w:t xml:space="preserve">7. Regulatory Reporting Obligations</w:t>
      </w:r>
    </w:p>
    <w:p>
      <w:pPr>
        <w:spacing w:after="400"/>
      </w:pPr>
      <w:r>
        <w:t xml:space="preserve">8. Post-Incident Activities</w:t>
      </w:r>
    </w:p>
    <w:p>
      <w:r/>
    </w:p>
    <w:p>
      <w:pPr>
        <w:pStyle w:val="Heading1"/>
        <w:spacing w:after="200"/>
      </w:pPr>
      <w:r>
        <w:t xml:space="preserve">1. PURPOSE</w:t>
      </w:r>
    </w:p>
    <w:p>
      <w:pPr>
        <w:spacing w:line="240" w:after="200"/>
      </w:pPr>
      <w:r>
        <w:t xml:space="preserve">An incident is any unplanned or unwanted event that has occurred or may occur within HorseInsure that compromises information security, business operations or regulatory compliance. This Incident Management Policy establishes procedures for detecting, reporting, responding and recovering from incidents in a timely and coordinated manner.</w:t>
      </w:r>
    </w:p>
    <w:p>
      <w:pPr>
        <w:spacing w:line="240" w:after="200"/>
      </w:pPr>
      <w:r>
        <w:t xml:space="preserve">The policy ensures incidents are handled consistently, critical incidents are escalated promptly, affected parties are notified appropriately and learning occurs to prevent recurrence.</w:t>
      </w:r>
    </w:p>
    <w:p>
      <w:pPr>
        <w:pStyle w:val="Heading1"/>
        <w:spacing w:after="200"/>
      </w:pPr>
      <w:r>
        <w:t xml:space="preserve">2. SCOPE</w:t>
      </w:r>
    </w:p>
    <w:p>
      <w:pPr>
        <w:spacing w:line="240" w:after="150"/>
      </w:pPr>
      <w:r>
        <w:t xml:space="preserve">This policy applies to all employees, contractors and third-party service providers who use company systems or handle company information. Incidents covered include:</w:t>
      </w:r>
    </w:p>
    <w:p>
      <w:pPr>
        <w:pStyle w:val="ListParagraph"/>
        <w:numPr>
          <w:ilvl w:val="0"/>
          <w:numId w:val="1"/>
        </w:numPr>
        <w:spacing w:after="100"/>
      </w:pPr>
      <w:r>
        <w:t xml:space="preserve">Information security breaches (unauthorised access, data theft, ransomware)</w:t>
      </w:r>
    </w:p>
    <w:p>
      <w:pPr>
        <w:pStyle w:val="ListParagraph"/>
        <w:numPr>
          <w:ilvl w:val="0"/>
          <w:numId w:val="1"/>
        </w:numPr>
        <w:spacing w:after="100"/>
      </w:pPr>
      <w:r>
        <w:t xml:space="preserve">System availability issues (outages, service disruptions)</w:t>
      </w:r>
    </w:p>
    <w:p>
      <w:pPr>
        <w:pStyle w:val="ListParagraph"/>
        <w:numPr>
          <w:ilvl w:val="0"/>
          <w:numId w:val="1"/>
        </w:numPr>
        <w:spacing w:after="100"/>
      </w:pPr>
      <w:r>
        <w:t xml:space="preserve">Data integrity incidents (data corruption, unauthorised modification)</w:t>
      </w:r>
    </w:p>
    <w:p>
      <w:pPr>
        <w:pStyle w:val="ListParagraph"/>
        <w:numPr>
          <w:ilvl w:val="0"/>
          <w:numId w:val="1"/>
        </w:numPr>
        <w:spacing w:after="100"/>
      </w:pPr>
      <w:r>
        <w:t xml:space="preserve">Privacy breaches (unauthorised disclosure of personal information)</w:t>
      </w:r>
    </w:p>
    <w:p>
      <w:pPr>
        <w:pStyle w:val="ListParagraph"/>
        <w:numPr>
          <w:ilvl w:val="0"/>
          <w:numId w:val="1"/>
        </w:numPr>
        <w:spacing w:after="100"/>
      </w:pPr>
      <w:r>
        <w:t xml:space="preserve">Compliance violations or suspected violations</w:t>
      </w:r>
    </w:p>
    <w:p>
      <w:pPr>
        <w:pStyle w:val="ListParagraph"/>
        <w:numPr>
          <w:ilvl w:val="0"/>
          <w:numId w:val="1"/>
        </w:numPr>
        <w:spacing w:after="200"/>
      </w:pPr>
      <w:r>
        <w:t xml:space="preserve">Operational failures affecting business processes</w:t>
      </w:r>
    </w:p>
    <w:p>
      <w:pPr>
        <w:pStyle w:val="Heading1"/>
        <w:spacing w:after="200"/>
      </w:pPr>
      <w:r>
        <w:t xml:space="preserve">3. INCIDENT CATEGORIES</w:t>
      </w:r>
    </w:p>
    <w:p>
      <w:pPr>
        <w:spacing w:line="240" w:after="150"/>
      </w:pPr>
      <w:r>
        <w:t xml:space="preserve">Incidents are categorised for appropriate handling:</w:t>
      </w:r>
    </w:p>
    <w:p>
      <w:pPr>
        <w:pStyle w:val="ListParagraph"/>
        <w:numPr>
          <w:ilvl w:val="0"/>
          <w:numId w:val="1"/>
        </w:numPr>
        <w:spacing w:after="100"/>
      </w:pPr>
      <w:r>
        <w:t xml:space="preserve">Security Incidents: Unauthorised access, breach attempts, malware infections</w:t>
      </w:r>
    </w:p>
    <w:p>
      <w:pPr>
        <w:pStyle w:val="ListParagraph"/>
        <w:numPr>
          <w:ilvl w:val="0"/>
          <w:numId w:val="1"/>
        </w:numPr>
        <w:spacing w:after="100"/>
      </w:pPr>
      <w:r>
        <w:t xml:space="preserve">Data Loss: Accidental deletion, lost devices containing data, ransomware impact</w:t>
      </w:r>
    </w:p>
    <w:p>
      <w:pPr>
        <w:pStyle w:val="ListParagraph"/>
        <w:numPr>
          <w:ilvl w:val="0"/>
          <w:numId w:val="1"/>
        </w:numPr>
        <w:spacing w:after="100"/>
      </w:pPr>
      <w:r>
        <w:t xml:space="preserve">Privacy Breaches: Disclosure of personal information including policy holder PII or horse health records</w:t>
      </w:r>
    </w:p>
    <w:p>
      <w:pPr>
        <w:pStyle w:val="ListParagraph"/>
        <w:numPr>
          <w:ilvl w:val="0"/>
          <w:numId w:val="1"/>
        </w:numPr>
        <w:spacing w:after="100"/>
      </w:pPr>
      <w:r>
        <w:t xml:space="preserve">Availability Incidents: System outages, service degradation affecting claims processing or policy administration</w:t>
      </w:r>
    </w:p>
    <w:p>
      <w:pPr>
        <w:pStyle w:val="ListParagraph"/>
        <w:numPr>
          <w:ilvl w:val="0"/>
          <w:numId w:val="1"/>
        </w:numPr>
        <w:spacing w:after="100"/>
      </w:pPr>
      <w:r>
        <w:t xml:space="preserve">Integrity Incidents: Unauthorised modification of claims data, premium records or underwriting files</w:t>
      </w:r>
    </w:p>
    <w:p>
      <w:pPr>
        <w:pStyle w:val="ListParagraph"/>
        <w:numPr>
          <w:ilvl w:val="0"/>
          <w:numId w:val="1"/>
        </w:numPr>
        <w:spacing w:after="200"/>
      </w:pPr>
      <w:r>
        <w:t xml:space="preserve">Suspected Incidents: Anomalous behaviour, suspicious logs or user reports requiring investigation</w:t>
      </w:r>
    </w:p>
    <w:p>
      <w:pPr>
        <w:pStyle w:val="Heading1"/>
        <w:spacing w:after="200"/>
      </w:pPr>
      <w:r>
        <w:t xml:space="preserve">4. INCIDENT SEVERITY LEVELS</w:t>
      </w:r>
    </w:p>
    <w:p>
      <w:pPr>
        <w:spacing w:line="240" w:after="150"/>
      </w:pPr>
      <w:r>
        <w:t xml:space="preserve">Severity is assigned based on impact and number of affected parties:</w:t>
      </w:r>
    </w:p>
    <w:tbl>
      <w:tblPr>
        <w:tblW w:type="pct" w:w="100%"/>
        <w:tblBorders>
          <w:top w:val="single"/>
          <w:left w:val="single"/>
          <w:bottom w:val="single"/>
          <w:right w:val="single"/>
          <w:insideH w:val="single"/>
          <w:insideV w:val="single"/>
        </w:tblBorders>
      </w:tblPr>
      <w:tblGrid>
        <w:gridCol w:w="100"/>
        <w:gridCol w:w="100"/>
      </w:tblGrid>
      <w:tr>
        <w:tc>
          <w:tcPr>
            <w:tcW w:type="pct" w:w="20%"/>
            <w:shd w:fill="F4CCCC" w:val="clear"/>
          </w:tcPr>
          <w:p>
            <w:r>
              <w:t xml:space="preserve">CRITICAL</w:t>
            </w:r>
          </w:p>
        </w:tc>
        <w:tc>
          <w:tcPr>
            <w:tcW w:type="pct" w:w="80%"/>
          </w:tcPr>
          <w:p>
            <w:r>
              <w:t xml:space="preserve">Systems completely unavailable affecting all operations; widespread data breach affecting hundreds of customers; potential regulatory violation. Immediate escalation required.</w:t>
            </w:r>
          </w:p>
        </w:tc>
      </w:tr>
      <w:tr>
        <w:tc>
          <w:tcPr>
            <w:tcW w:type="pct" w:w="20%"/>
            <w:shd w:fill="F8CBAD" w:val="clear"/>
          </w:tcPr>
          <w:p>
            <w:r>
              <w:t xml:space="preserve">HIGH</w:t>
            </w:r>
          </w:p>
        </w:tc>
        <w:tc>
          <w:tcPr>
            <w:tcW w:type="pct" w:w="80%"/>
          </w:tcPr>
          <w:p>
            <w:r>
              <w:t xml:space="preserve">Key systems degraded but partially functional; data breach affecting 10-100 customers; compliance concern requiring prompt action. Escalate to management within 1 hour.</w:t>
            </w:r>
          </w:p>
        </w:tc>
      </w:tr>
      <w:tr>
        <w:tc>
          <w:tcPr>
            <w:tcW w:type="pct" w:w="20%"/>
            <w:shd w:fill="FFF2CC" w:val="clear"/>
          </w:tcPr>
          <w:p>
            <w:r>
              <w:t xml:space="preserve">MEDIUM</w:t>
            </w:r>
          </w:p>
        </w:tc>
        <w:tc>
          <w:tcPr>
            <w:tcW w:type="pct" w:w="80%"/>
          </w:tcPr>
          <w:p>
            <w:r>
              <w:t xml:space="preserve">Isolated system issue; limited data exposure affecting 1-10 customers; minor compliance violation. Escalate within 4 hours.</w:t>
            </w:r>
          </w:p>
        </w:tc>
      </w:tr>
      <w:tr>
        <w:tc>
          <w:tcPr>
            <w:tcW w:type="pct" w:w="20%"/>
            <w:shd w:fill="C0E0DE" w:val="clear"/>
          </w:tcPr>
          <w:p>
            <w:r>
              <w:t xml:space="preserve">LOW</w:t>
            </w:r>
          </w:p>
        </w:tc>
        <w:tc>
          <w:tcPr>
            <w:tcW w:type="pct" w:w="80%"/>
          </w:tcPr>
          <w:p>
            <w:r>
              <w:t xml:space="preserve">Minor issues with minimal impact; suspicious event but no confirmed impact. Investigate and track for pattern analysis.</w:t>
            </w:r>
          </w:p>
        </w:tc>
      </w:tr>
    </w:tbl>
    <w:p>
      <w:pPr>
        <w:spacing w:line="240" w:after="200"/>
      </w:pPr>
    </w:p>
    <w:p>
      <w:pPr>
        <w:pStyle w:val="Heading1"/>
        <w:spacing w:after="200"/>
      </w:pPr>
      <w:r>
        <w:t xml:space="preserve">5. INCIDENT REPORTING</w:t>
      </w:r>
    </w:p>
    <w:p>
      <w:pPr>
        <w:spacing w:after="150"/>
      </w:pPr>
      <w:r>
        <w:t xml:space="preserve">Detection and Reporting:</w:t>
      </w:r>
    </w:p>
    <w:p>
      <w:pPr>
        <w:pStyle w:val="ListParagraph"/>
        <w:numPr>
          <w:ilvl w:val="0"/>
          <w:numId w:val="1"/>
        </w:numPr>
        <w:spacing w:after="100"/>
      </w:pPr>
      <w:r>
        <w:t xml:space="preserve">Any employee who suspects a security incident must report it immediately to the IT Help Desk (ext. 5555) or incident.report@horseinsure.com.au</w:t>
      </w:r>
    </w:p>
    <w:p>
      <w:pPr>
        <w:pStyle w:val="ListParagraph"/>
        <w:numPr>
          <w:ilvl w:val="0"/>
          <w:numId w:val="1"/>
        </w:numPr>
        <w:spacing w:after="100"/>
      </w:pPr>
      <w:r>
        <w:t xml:space="preserve">Reports should include: description of incident, systems or data affected, when discovered, potential impact and any actions already taken.</w:t>
      </w:r>
    </w:p>
    <w:p>
      <w:pPr>
        <w:pStyle w:val="ListParagraph"/>
        <w:numPr>
          <w:ilvl w:val="0"/>
          <w:numId w:val="1"/>
        </w:numPr>
        <w:spacing w:after="150"/>
      </w:pPr>
      <w:r>
        <w:t xml:space="preserve">All reports are acknowledged within 30 minutes during business hours.</w:t>
      </w:r>
    </w:p>
    <w:p>
      <w:pPr>
        <w:spacing w:after="150"/>
      </w:pPr>
      <w:r>
        <w:t xml:space="preserve">Initial Assessment:</w:t>
      </w:r>
    </w:p>
    <w:p>
      <w:pPr>
        <w:pStyle w:val="ListParagraph"/>
        <w:numPr>
          <w:ilvl w:val="0"/>
          <w:numId w:val="1"/>
        </w:numPr>
        <w:spacing w:after="100"/>
      </w:pPr>
      <w:r>
        <w:t xml:space="preserve">The IT Security team assigns a severity level based on initial information.</w:t>
      </w:r>
    </w:p>
    <w:p>
      <w:pPr>
        <w:pStyle w:val="ListParagraph"/>
        <w:numPr>
          <w:ilvl w:val="0"/>
          <w:numId w:val="1"/>
        </w:numPr>
        <w:spacing w:after="100"/>
      </w:pPr>
      <w:r>
        <w:t xml:space="preserve">Critical incidents trigger immediate activation of the incident response team.</w:t>
      </w:r>
    </w:p>
    <w:p>
      <w:pPr>
        <w:pStyle w:val="ListParagraph"/>
        <w:numPr>
          <w:ilvl w:val="0"/>
          <w:numId w:val="1"/>
        </w:numPr>
        <w:spacing w:after="200"/>
      </w:pPr>
      <w:r>
        <w:t xml:space="preserve">Reporter is updated on severity assessment and next steps.</w:t>
      </w:r>
    </w:p>
    <w:p>
      <w:pPr>
        <w:pStyle w:val="Heading1"/>
        <w:spacing w:after="200"/>
      </w:pPr>
      <w:r>
        <w:t xml:space="preserve">6. ESCALATION MATRIX</w:t>
      </w:r>
    </w:p>
    <w:p>
      <w:pPr>
        <w:spacing w:line="240" w:after="150"/>
      </w:pPr>
      <w:r>
        <w:t xml:space="preserve">Escalation is performed based on incident severity and circumstances:</w:t>
      </w:r>
    </w:p>
    <w:p>
      <w:pPr>
        <w:pStyle w:val="ListParagraph"/>
        <w:numPr>
          <w:ilvl w:val="0"/>
          <w:numId w:val="1"/>
        </w:numPr>
        <w:spacing w:after="100"/>
      </w:pPr>
      <w:r>
        <w:t xml:space="preserve">Critical Incidents: Immediate escalation to CISO and CEO. Incident Commander appointed. Response team assembled within 30 minutes.</w:t>
      </w:r>
    </w:p>
    <w:p>
      <w:pPr>
        <w:pStyle w:val="ListParagraph"/>
        <w:numPr>
          <w:ilvl w:val="0"/>
          <w:numId w:val="1"/>
        </w:numPr>
        <w:spacing w:after="100"/>
      </w:pPr>
      <w:r>
        <w:t xml:space="preserve">High Severity: Escalated to CISO and relevant department heads within 1 hour. Response plan developed.</w:t>
      </w:r>
    </w:p>
    <w:p>
      <w:pPr>
        <w:pStyle w:val="ListParagraph"/>
        <w:numPr>
          <w:ilvl w:val="0"/>
          <w:numId w:val="1"/>
        </w:numPr>
        <w:spacing w:after="100"/>
      </w:pPr>
      <w:r>
        <w:t xml:space="preserve">Medium Severity: Escalated to IT Manager and department manager within 4 hours.</w:t>
      </w:r>
    </w:p>
    <w:p>
      <w:pPr>
        <w:pStyle w:val="ListParagraph"/>
        <w:numPr>
          <w:ilvl w:val="0"/>
          <w:numId w:val="1"/>
        </w:numPr>
        <w:spacing w:after="200"/>
      </w:pPr>
      <w:r>
        <w:t xml:space="preserve">Low Severity: Investigated by IT Security team without escalation unless patterns emerge.</w:t>
      </w:r>
    </w:p>
    <w:p>
      <w:pPr>
        <w:pStyle w:val="Heading1"/>
        <w:spacing w:after="200"/>
      </w:pPr>
      <w:r>
        <w:t xml:space="preserve">7. REGULATORY REPORTING OBLIGATIONS</w:t>
      </w:r>
    </w:p>
    <w:p>
      <w:pPr>
        <w:spacing w:after="150"/>
      </w:pPr>
      <w:r>
        <w:t xml:space="preserve">Privacy Breaches:</w:t>
      </w:r>
    </w:p>
    <w:p>
      <w:pPr>
        <w:pStyle w:val="ListParagraph"/>
        <w:numPr>
          <w:ilvl w:val="0"/>
          <w:numId w:val="1"/>
        </w:numPr>
        <w:spacing w:after="100"/>
      </w:pPr>
      <w:r>
        <w:t xml:space="preserve">Incidents involving unauthorised disclosure of personal information must be reported to the Office of the Australian Information Commissioner (OAIC) within 30 days if serious harm is likely.</w:t>
      </w:r>
    </w:p>
    <w:p>
      <w:pPr>
        <w:pStyle w:val="ListParagraph"/>
        <w:numPr>
          <w:ilvl w:val="0"/>
          <w:numId w:val="1"/>
        </w:numPr>
        <w:spacing w:after="100"/>
      </w:pPr>
      <w:r>
        <w:t xml:space="preserve">Notification to affected individuals must occur when serious harm is likely.</w:t>
      </w:r>
    </w:p>
    <w:p>
      <w:pPr>
        <w:pStyle w:val="ListParagraph"/>
        <w:numPr>
          <w:ilvl w:val="0"/>
          <w:numId w:val="1"/>
        </w:numPr>
        <w:spacing w:after="150"/>
      </w:pPr>
      <w:r>
        <w:t xml:space="preserve">The Compliance Manager coordinates privacy breach notifications.</w:t>
      </w:r>
    </w:p>
    <w:p>
      <w:pPr>
        <w:spacing w:after="150"/>
      </w:pPr>
      <w:r>
        <w:t xml:space="preserve">Insurance Regulatory:</w:t>
      </w:r>
    </w:p>
    <w:p>
      <w:pPr>
        <w:pStyle w:val="ListParagraph"/>
        <w:numPr>
          <w:ilvl w:val="0"/>
          <w:numId w:val="1"/>
        </w:numPr>
        <w:spacing w:after="100"/>
      </w:pPr>
      <w:r>
        <w:t xml:space="preserve">Significant system failures or data integrity issues affecting policy administration may require reporting to APRA (Australian Prudential Regulation Authority) if they impact prudential requirements.</w:t>
      </w:r>
    </w:p>
    <w:p>
      <w:pPr>
        <w:pStyle w:val="ListParagraph"/>
        <w:numPr>
          <w:ilvl w:val="0"/>
          <w:numId w:val="1"/>
        </w:numPr>
        <w:spacing w:after="200"/>
      </w:pPr>
      <w:r>
        <w:t xml:space="preserve">The CISO evaluates reporting obligations in consultation with Legal and Compliance.</w:t>
      </w:r>
    </w:p>
    <w:p>
      <w:pPr>
        <w:pStyle w:val="Heading1"/>
        <w:spacing w:after="200"/>
      </w:pPr>
      <w:r>
        <w:t xml:space="preserve">8. POST-INCIDENT ACTIVITIES</w:t>
      </w:r>
    </w:p>
    <w:p>
      <w:pPr>
        <w:spacing w:after="150"/>
      </w:pPr>
      <w:r>
        <w:t xml:space="preserve">Recovery:</w:t>
      </w:r>
    </w:p>
    <w:p>
      <w:pPr>
        <w:pStyle w:val="ListParagraph"/>
        <w:numPr>
          <w:ilvl w:val="0"/>
          <w:numId w:val="1"/>
        </w:numPr>
        <w:spacing w:after="100"/>
      </w:pPr>
      <w:r>
        <w:t xml:space="preserve">Systems are restored to normal operations following documented recovery procedures.</w:t>
      </w:r>
    </w:p>
    <w:p>
      <w:pPr>
        <w:pStyle w:val="ListParagraph"/>
        <w:numPr>
          <w:ilvl w:val="0"/>
          <w:numId w:val="1"/>
        </w:numPr>
        <w:spacing w:after="150"/>
      </w:pPr>
      <w:r>
        <w:t xml:space="preserve">Data integrity is verified before systems are returned to production.</w:t>
      </w:r>
    </w:p>
    <w:p>
      <w:pPr>
        <w:spacing w:after="150"/>
      </w:pPr>
      <w:r>
        <w:t xml:space="preserve">Investigation and Documentation:</w:t>
      </w:r>
    </w:p>
    <w:p>
      <w:pPr>
        <w:pStyle w:val="ListParagraph"/>
        <w:numPr>
          <w:ilvl w:val="0"/>
          <w:numId w:val="1"/>
        </w:numPr>
        <w:spacing w:after="100"/>
      </w:pPr>
      <w:r>
        <w:t xml:space="preserve">All incidents are investigated to determine root cause and contributing factors.</w:t>
      </w:r>
    </w:p>
    <w:p>
      <w:pPr>
        <w:pStyle w:val="ListParagraph"/>
        <w:numPr>
          <w:ilvl w:val="0"/>
          <w:numId w:val="1"/>
        </w:numPr>
        <w:spacing w:after="100"/>
      </w:pPr>
      <w:r>
        <w:t xml:space="preserve">Incident reports document: timeline, affected systems/data, actions taken, findings and recommendations.</w:t>
      </w:r>
    </w:p>
    <w:p>
      <w:pPr>
        <w:pStyle w:val="ListParagraph"/>
        <w:numPr>
          <w:ilvl w:val="0"/>
          <w:numId w:val="1"/>
        </w:numPr>
        <w:spacing w:after="150"/>
      </w:pPr>
      <w:r>
        <w:t xml:space="preserve">High severity incidents reviewed by Incident Review Board within 5 business days.</w:t>
      </w:r>
    </w:p>
    <w:p>
      <w:pPr>
        <w:spacing w:after="150"/>
      </w:pPr>
      <w:r>
        <w:t xml:space="preserve">Corrective Actions:</w:t>
      </w:r>
    </w:p>
    <w:p>
      <w:pPr>
        <w:pStyle w:val="ListParagraph"/>
        <w:numPr>
          <w:ilvl w:val="0"/>
          <w:numId w:val="1"/>
        </w:numPr>
        <w:spacing w:after="100"/>
      </w:pPr>
      <w:r>
        <w:t xml:space="preserve">Recommendations from incident investigations are tracked and implemented.</w:t>
      </w:r>
    </w:p>
    <w:p>
      <w:pPr>
        <w:pStyle w:val="ListParagraph"/>
        <w:numPr>
          <w:ilvl w:val="0"/>
          <w:numId w:val="1"/>
        </w:numPr>
        <w:spacing w:after="100"/>
      </w:pPr>
      <w:r>
        <w:t xml:space="preserve">Root causes are addressed to prevent recurrence.</w:t>
      </w:r>
    </w:p>
    <w:p>
      <w:pPr>
        <w:pStyle w:val="ListParagraph"/>
        <w:numPr>
          <w:ilvl w:val="0"/>
          <w:numId w:val="1"/>
        </w:numPr>
        <w:spacing w:line="240" w:after="100"/>
      </w:pPr>
      <w:r>
        <w:t xml:space="preserve">Implementation progress is reported to the Risk Management Committee.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right w:val="none"/>
        <w:insideH w:val="none"/>
        <w:insideV w:val="none"/>
      </w:tblBorders>
    </w:tblPr>
    <w:tblGrid>
      <w:gridCol w:w="100"/>
      <w:gridCol w:w="100"/>
    </w:tblGrid>
    <w:tr>
      <w:tc>
        <w:tcPr>
          <w:tcW w:type="pct" w:w="50%"/>
        </w:tcPr>
        <w:p>
          <w:r>
            <w:t xml:space="preserve">HorseInsure Pty Ltd</w:t>
          </w:r>
        </w:p>
      </w:tc>
      <w:tc>
        <w:tcPr>
          <w:tcW w:type="pct" w:w="50%"/>
        </w:tcPr>
        <w:p>
          <w:r>
            <w:t xml:space="preserve">ABN 41 209 837 156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2026-02-15T07:25:00.760Z</dcterms:created>
  <dcterms:modified xsi:type="dcterms:W3CDTF">2026-02-15T07:25:00.760Z</dcterms:modified>
</cp:coreProperties>
</file>

<file path=docProps/custom.xml><?xml version="1.0" encoding="utf-8"?>
<Properties xmlns="http://schemas.openxmlformats.org/officeDocument/2006/custom-properties" xmlns:vt="http://schemas.openxmlformats.org/officeDocument/2006/docPropsVTypes"/>
</file>