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after="200"/>
        <w:jc w:val="center"/>
      </w:pPr>
      <w:r>
        <w:t xml:space="preserve">BUSINESS CONTINUITY AND DISASTER RECOVERY POLICY</w:t>
      </w:r>
    </w:p>
    <w:p>
      <w:pPr>
        <w:spacing w:after="400"/>
        <w:jc w:val="center"/>
      </w:pPr>
      <w:r>
        <w:t xml:space="preserve">POL-007</w:t>
      </w:r>
    </w:p>
    <w:tbl>
      <w:tblPr>
        <w:tblW w:type="pct" w:w="100%"/>
        <w:tblBorders>
          <w:top w:val="single"/>
          <w:left w:val="single"/>
          <w:bottom w:val="single"/>
          <w:right w:val="single"/>
          <w:insideH w:val="single"/>
          <w:insideV w:val="single"/>
        </w:tblBorders>
      </w:tblPr>
      <w:tblGrid>
        <w:gridCol w:w="100"/>
        <w:gridCol w:w="100"/>
      </w:tblGrid>
      <w:tr>
        <w:tc>
          <w:tcPr>
            <w:tcW w:type="pct" w:w="30%"/>
            <w:shd w:fill="E8E8E8" w:val="clear"/>
          </w:tcPr>
          <w:p>
            <w:r>
              <w:t xml:space="preserve">Document ID</w:t>
            </w:r>
          </w:p>
        </w:tc>
        <w:tc>
          <w:tcPr>
            <w:tcW w:type="pct" w:w="70%"/>
          </w:tcPr>
          <w:p>
            <w:r>
              <w:t xml:space="preserve">POL-007</w:t>
            </w:r>
          </w:p>
        </w:tc>
      </w:tr>
      <w:tr>
        <w:tc>
          <w:tcPr>
            <w:tcW w:type="pct" w:w="30%"/>
            <w:shd w:fill="E8E8E8" w:val="clear"/>
          </w:tcPr>
          <w:p>
            <w:r>
              <w:t xml:space="preserve">Version</w:t>
            </w:r>
          </w:p>
        </w:tc>
        <w:tc>
          <w:tcPr>
            <w:tcW w:type="pct" w:w="70%"/>
          </w:tcPr>
          <w:p>
            <w:r>
              <w:t xml:space="preserve">1.1</w:t>
            </w:r>
          </w:p>
        </w:tc>
      </w:tr>
      <w:tr>
        <w:tc>
          <w:tcPr>
            <w:tcW w:type="pct" w:w="30%"/>
            <w:shd w:fill="E8E8E8" w:val="clear"/>
          </w:tcPr>
          <w:p>
            <w:r>
              <w:t xml:space="preserve">Owner</w:t>
            </w:r>
          </w:p>
        </w:tc>
        <w:tc>
          <w:tcPr>
            <w:tcW w:type="pct" w:w="70%"/>
          </w:tcPr>
          <w:p>
            <w:r>
              <w:t xml:space="preserve">Sarah Williams, Head of IT</w:t>
            </w:r>
          </w:p>
        </w:tc>
      </w:tr>
      <w:tr>
        <w:tc>
          <w:tcPr>
            <w:tcW w:type="pct" w:w="30%"/>
            <w:shd w:fill="E8E8E8" w:val="clear"/>
          </w:tcPr>
          <w:p>
            <w:r>
              <w:t xml:space="preserve">Approved By</w:t>
            </w:r>
          </w:p>
        </w:tc>
        <w:tc>
          <w:tcPr>
            <w:tcW w:type="pct" w:w="70%"/>
          </w:tcPr>
          <w:p>
            <w:r>
              <w:t xml:space="preserve">Margaret Thornton, Chief Executive Officer</w:t>
            </w:r>
          </w:p>
        </w:tc>
      </w:tr>
      <w:tr>
        <w:tc>
          <w:tcPr>
            <w:tcW w:type="pct" w:w="30%"/>
            <w:shd w:fill="E8E8E8" w:val="clear"/>
          </w:tcPr>
          <w:p>
            <w:r>
              <w:t xml:space="preserve">Approval Date</w:t>
            </w:r>
          </w:p>
        </w:tc>
        <w:tc>
          <w:tcPr>
            <w:tcW w:type="pct" w:w="70%"/>
          </w:tcPr>
          <w:p>
            <w:r>
              <w:t xml:space="preserve">3 April 2024</w:t>
            </w:r>
          </w:p>
        </w:tc>
      </w:tr>
      <w:tr>
        <w:tc>
          <w:tcPr>
            <w:tcW w:type="pct" w:w="30%"/>
            <w:shd w:fill="E8E8E8" w:val="clear"/>
          </w:tcPr>
          <w:p>
            <w:r>
              <w:t xml:space="preserve">Next Review Date</w:t>
            </w:r>
          </w:p>
        </w:tc>
        <w:tc>
          <w:tcPr>
            <w:tcW w:type="pct" w:w="70%"/>
          </w:tcPr>
          <w:p>
            <w:r>
              <w:t xml:space="preserve">3 April 2025</w:t>
            </w:r>
          </w:p>
        </w:tc>
      </w:tr>
    </w:tbl>
    <w:p>
      <w:pPr>
        <w:spacing w:line="240" w:after="400"/>
      </w:pPr>
    </w:p>
    <w:p>
      <w:pPr>
        <w:spacing w:after="200"/>
      </w:pPr>
      <w:r>
        <w:t xml:space="preserve">TABLE OF CONTENTS</w:t>
      </w:r>
    </w:p>
    <w:p>
      <w:pPr>
        <w:spacing w:after="100"/>
      </w:pPr>
      <w:r>
        <w:t xml:space="preserve">1. Purpose</w:t>
      </w:r>
    </w:p>
    <w:p>
      <w:pPr>
        <w:spacing w:after="100"/>
      </w:pPr>
      <w:r>
        <w:t xml:space="preserve">2. Scope</w:t>
      </w:r>
    </w:p>
    <w:p>
      <w:pPr>
        <w:spacing w:after="100"/>
      </w:pPr>
      <w:r>
        <w:t xml:space="preserve">3. Business Continuity Framework</w:t>
      </w:r>
    </w:p>
    <w:p>
      <w:pPr>
        <w:spacing w:after="100"/>
      </w:pPr>
      <w:r>
        <w:t xml:space="preserve">4. Recovery Time and Point Objectives</w:t>
      </w:r>
    </w:p>
    <w:p>
      <w:pPr>
        <w:spacing w:after="100"/>
      </w:pPr>
      <w:r>
        <w:t xml:space="preserve">5. Critical Systems and Data</w:t>
      </w:r>
    </w:p>
    <w:p>
      <w:pPr>
        <w:spacing w:after="100"/>
      </w:pPr>
      <w:r>
        <w:t xml:space="preserve">6. Disaster Recovery Procedures</w:t>
      </w:r>
    </w:p>
    <w:p>
      <w:pPr>
        <w:spacing w:after="100"/>
      </w:pPr>
      <w:r>
        <w:t xml:space="preserve">7. Testing and Maintenance</w:t>
      </w:r>
    </w:p>
    <w:p>
      <w:pPr>
        <w:spacing w:after="400"/>
      </w:pPr>
      <w:r>
        <w:t xml:space="preserve">8. Responsibilities</w:t>
      </w:r>
    </w:p>
    <w:p>
      <w:r/>
    </w:p>
    <w:p>
      <w:pPr>
        <w:pStyle w:val="Heading1"/>
        <w:spacing w:after="200"/>
      </w:pPr>
      <w:r>
        <w:t xml:space="preserve">1. PURPOSE</w:t>
      </w:r>
    </w:p>
    <w:p>
      <w:pPr>
        <w:spacing w:line="240" w:after="200"/>
      </w:pPr>
      <w:r>
        <w:t xml:space="preserve">Business continuity and disaster recovery capabilities are essential for HorseInsure's resilience and ability to serve customers during disruptive events. This policy establishes the framework for maintaining continuous business operations and recovering from disasters that impact IT systems or facilities.</w:t>
      </w:r>
    </w:p>
    <w:p>
      <w:pPr>
        <w:spacing w:line="240" w:after="200"/>
      </w:pPr>
      <w:r>
        <w:t xml:space="preserve">The policy ensures recovery resources are available, staff are trained on response procedures and testing validates recovery capability.</w:t>
      </w:r>
    </w:p>
    <w:p>
      <w:pPr>
        <w:pStyle w:val="Heading1"/>
        <w:spacing w:after="200"/>
      </w:pPr>
      <w:r>
        <w:t xml:space="preserve">2. SCOPE</w:t>
      </w:r>
    </w:p>
    <w:p>
      <w:pPr>
        <w:spacing w:line="240" w:after="150"/>
      </w:pPr>
      <w:r>
        <w:t xml:space="preserve">This policy applies to all systems, applications and business processes at HorseInsure including:</w:t>
      </w:r>
    </w:p>
    <w:p>
      <w:pPr>
        <w:pStyle w:val="ListParagraph"/>
        <w:numPr>
          <w:ilvl w:val="0"/>
          <w:numId w:val="1"/>
        </w:numPr>
        <w:spacing w:after="100"/>
      </w:pPr>
      <w:r>
        <w:t xml:space="preserve">Policy administration systems and databases</w:t>
      </w:r>
    </w:p>
    <w:p>
      <w:pPr>
        <w:pStyle w:val="ListParagraph"/>
        <w:numPr>
          <w:ilvl w:val="0"/>
          <w:numId w:val="1"/>
        </w:numPr>
        <w:spacing w:after="100"/>
      </w:pPr>
      <w:r>
        <w:t xml:space="preserve">Claims processing and assessment systems</w:t>
      </w:r>
    </w:p>
    <w:p>
      <w:pPr>
        <w:pStyle w:val="ListParagraph"/>
        <w:numPr>
          <w:ilvl w:val="0"/>
          <w:numId w:val="1"/>
        </w:numPr>
        <w:spacing w:after="100"/>
      </w:pPr>
      <w:r>
        <w:t xml:space="preserve">Equine health records and underwriting files</w:t>
      </w:r>
    </w:p>
    <w:p>
      <w:pPr>
        <w:pStyle w:val="ListParagraph"/>
        <w:numPr>
          <w:ilvl w:val="0"/>
          <w:numId w:val="1"/>
        </w:numPr>
        <w:spacing w:after="100"/>
      </w:pPr>
      <w:r>
        <w:t xml:space="preserve">Financial systems and reporting infrastructure</w:t>
      </w:r>
    </w:p>
    <w:p>
      <w:pPr>
        <w:pStyle w:val="ListParagraph"/>
        <w:numPr>
          <w:ilvl w:val="0"/>
          <w:numId w:val="1"/>
        </w:numPr>
        <w:spacing w:after="100"/>
      </w:pPr>
      <w:r>
        <w:t xml:space="preserve">Communications and email systems</w:t>
      </w:r>
    </w:p>
    <w:p>
      <w:pPr>
        <w:pStyle w:val="ListParagraph"/>
        <w:numPr>
          <w:ilvl w:val="0"/>
          <w:numId w:val="1"/>
        </w:numPr>
        <w:spacing w:after="200"/>
      </w:pPr>
      <w:r>
        <w:t xml:space="preserve">Office facilities and workspace</w:t>
      </w:r>
    </w:p>
    <w:p>
      <w:pPr>
        <w:pStyle w:val="Heading1"/>
        <w:spacing w:after="200"/>
      </w:pPr>
      <w:r>
        <w:t xml:space="preserve">3. BUSINESS CONTINUITY FRAMEWORK</w:t>
      </w:r>
    </w:p>
    <w:p>
      <w:pPr>
        <w:spacing w:after="150"/>
      </w:pPr>
      <w:r>
        <w:t xml:space="preserve">Planning:</w:t>
      </w:r>
    </w:p>
    <w:p>
      <w:pPr>
        <w:pStyle w:val="ListParagraph"/>
        <w:numPr>
          <w:ilvl w:val="0"/>
          <w:numId w:val="1"/>
        </w:numPr>
        <w:spacing w:after="100"/>
      </w:pPr>
      <w:r>
        <w:t xml:space="preserve">Annual business continuity plan (BCP) is developed and maintained documenting procedures for maintaining operations during disruptions.</w:t>
      </w:r>
    </w:p>
    <w:p>
      <w:pPr>
        <w:pStyle w:val="ListParagraph"/>
        <w:numPr>
          <w:ilvl w:val="0"/>
          <w:numId w:val="1"/>
        </w:numPr>
        <w:spacing w:after="100"/>
      </w:pPr>
      <w:r>
        <w:t xml:space="preserve">The BCP addresses: alternate work locations, system failover procedures, communication protocols and critical function prioritisation.</w:t>
      </w:r>
    </w:p>
    <w:p>
      <w:pPr>
        <w:pStyle w:val="ListParagraph"/>
        <w:numPr>
          <w:ilvl w:val="0"/>
          <w:numId w:val="1"/>
        </w:numPr>
        <w:spacing w:after="150"/>
      </w:pPr>
      <w:r>
        <w:t xml:space="preserve">Department heads identify critical processes, dependencies and recovery priorities for their areas.</w:t>
      </w:r>
    </w:p>
    <w:p>
      <w:pPr>
        <w:spacing w:after="150"/>
      </w:pPr>
      <w:r>
        <w:t xml:space="preserve">Communication:</w:t>
      </w:r>
    </w:p>
    <w:p>
      <w:pPr>
        <w:pStyle w:val="ListParagraph"/>
        <w:numPr>
          <w:ilvl w:val="0"/>
          <w:numId w:val="1"/>
        </w:numPr>
        <w:spacing w:after="100"/>
      </w:pPr>
      <w:r>
        <w:t xml:space="preserve">During disruptions, a Crisis Management Team convenes to coordinate response and recovery.</w:t>
      </w:r>
    </w:p>
    <w:p>
      <w:pPr>
        <w:pStyle w:val="ListParagraph"/>
        <w:numPr>
          <w:ilvl w:val="0"/>
          <w:numId w:val="1"/>
        </w:numPr>
        <w:spacing w:after="100"/>
      </w:pPr>
      <w:r>
        <w:t xml:space="preserve">Employee notification procedures ensure staff know where to report and how to receive updates.</w:t>
      </w:r>
    </w:p>
    <w:p>
      <w:pPr>
        <w:pStyle w:val="ListParagraph"/>
        <w:numPr>
          <w:ilvl w:val="0"/>
          <w:numId w:val="1"/>
        </w:numPr>
        <w:spacing w:after="150"/>
      </w:pPr>
      <w:r>
        <w:t xml:space="preserve">Customer communication protocols prepared in advance for major outages.</w:t>
      </w:r>
    </w:p>
    <w:p>
      <w:pPr>
        <w:spacing w:after="150"/>
      </w:pPr>
      <w:r>
        <w:t xml:space="preserve">Continuity Capabilities:</w:t>
      </w:r>
    </w:p>
    <w:p>
      <w:pPr>
        <w:pStyle w:val="ListParagraph"/>
        <w:numPr>
          <w:ilvl w:val="0"/>
          <w:numId w:val="1"/>
        </w:numPr>
        <w:spacing w:after="100"/>
      </w:pPr>
      <w:r>
        <w:t xml:space="preserve">Remote work infrastructure enables employees to work from home during facility disruptions.</w:t>
      </w:r>
    </w:p>
    <w:p>
      <w:pPr>
        <w:pStyle w:val="ListParagraph"/>
        <w:numPr>
          <w:ilvl w:val="0"/>
          <w:numId w:val="1"/>
        </w:numPr>
        <w:spacing w:after="100"/>
      </w:pPr>
      <w:r>
        <w:t xml:space="preserve">VPN access and laptop provisioning prepared for rapid deployment.</w:t>
      </w:r>
    </w:p>
    <w:p>
      <w:pPr>
        <w:pStyle w:val="ListParagraph"/>
        <w:numPr>
          <w:ilvl w:val="0"/>
          <w:numId w:val="1"/>
        </w:numPr>
        <w:spacing w:after="200"/>
      </w:pPr>
      <w:r>
        <w:t xml:space="preserve">Alternate office space arrangements identified for extended outages.</w:t>
      </w:r>
    </w:p>
    <w:p>
      <w:pPr>
        <w:pStyle w:val="Heading1"/>
        <w:spacing w:after="200"/>
      </w:pPr>
      <w:r>
        <w:t xml:space="preserve">4. RECOVERY TIME AND POINT OBJECTIVES</w:t>
      </w:r>
    </w:p>
    <w:p>
      <w:pPr>
        <w:spacing w:line="240" w:after="150"/>
      </w:pPr>
      <w:r>
        <w:t xml:space="preserve">Recovery Time Objective (RTO): Maximum acceptable downtime before business impact becomes critical.</w:t>
      </w:r>
    </w:p>
    <w:tbl>
      <w:tblPr>
        <w:tblW w:type="pct" w:w="100%"/>
        <w:tblBorders>
          <w:top w:val="single"/>
          <w:left w:val="single"/>
          <w:bottom w:val="single"/>
          <w:right w:val="single"/>
          <w:insideH w:val="single"/>
          <w:insideV w:val="single"/>
        </w:tblBorders>
      </w:tblPr>
      <w:tblGrid>
        <w:gridCol w:w="100"/>
        <w:gridCol w:w="100"/>
      </w:tblGrid>
      <w:tr>
        <w:tc>
          <w:tcPr>
            <w:tcW w:type="pct" w:w="40%"/>
            <w:shd w:fill="E8E8E8" w:val="clear"/>
          </w:tcPr>
          <w:p>
            <w:r>
              <w:t xml:space="preserve">System/Process</w:t>
            </w:r>
          </w:p>
        </w:tc>
        <w:tc>
          <w:tcPr>
            <w:tcW w:type="pct" w:w="60%"/>
            <w:shd w:fill="E8E8E8" w:val="clear"/>
          </w:tcPr>
          <w:p>
            <w:r>
              <w:t xml:space="preserve">RTO</w:t>
            </w:r>
          </w:p>
        </w:tc>
      </w:tr>
      <w:tr>
        <w:tc>
          <w:tcPr>
            <w:tcW w:type="pct" w:w="40%"/>
          </w:tcPr>
          <w:p>
            <w:r>
              <w:t xml:space="preserve">Policy administration system</w:t>
            </w:r>
          </w:p>
        </w:tc>
        <w:tc>
          <w:tcPr>
            <w:tcW w:type="pct" w:w="60%"/>
          </w:tcPr>
          <w:p>
            <w:r>
              <w:t xml:space="preserve">4 hours</w:t>
            </w:r>
          </w:p>
        </w:tc>
      </w:tr>
      <w:tr>
        <w:tc>
          <w:tcPr>
            <w:tcW w:type="pct" w:w="40%"/>
          </w:tcPr>
          <w:p>
            <w:r>
              <w:t xml:space="preserve">Claims processing system</w:t>
            </w:r>
          </w:p>
        </w:tc>
        <w:tc>
          <w:tcPr>
            <w:tcW w:type="pct" w:w="60%"/>
          </w:tcPr>
          <w:p>
            <w:r>
              <w:t xml:space="preserve">6 hours</w:t>
            </w:r>
          </w:p>
        </w:tc>
      </w:tr>
      <w:tr>
        <w:tc>
          <w:tcPr>
            <w:tcW w:type="pct" w:w="40%"/>
          </w:tcPr>
          <w:p>
            <w:r>
              <w:t xml:space="preserve">Email and communications</w:t>
            </w:r>
          </w:p>
        </w:tc>
        <w:tc>
          <w:tcPr>
            <w:tcW w:type="pct" w:w="60%"/>
          </w:tcPr>
          <w:p>
            <w:r>
              <w:t xml:space="preserve">2 hours</w:t>
            </w:r>
          </w:p>
        </w:tc>
      </w:tr>
      <w:tr>
        <w:tc>
          <w:tcPr>
            <w:tcW w:type="pct" w:w="40%"/>
          </w:tcPr>
          <w:p>
            <w:r>
              <w:t xml:space="preserve">Equine health records database</w:t>
            </w:r>
          </w:p>
        </w:tc>
        <w:tc>
          <w:tcPr>
            <w:tcW w:type="pct" w:w="60%"/>
          </w:tcPr>
          <w:p>
            <w:r>
              <w:t xml:space="preserve">4 hours</w:t>
            </w:r>
          </w:p>
        </w:tc>
      </w:tr>
      <w:tr>
        <w:tc>
          <w:tcPr>
            <w:tcW w:type="pct" w:w="40%"/>
          </w:tcPr>
          <w:p>
            <w:r>
              <w:t xml:space="preserve">Financial systems</w:t>
            </w:r>
          </w:p>
        </w:tc>
        <w:tc>
          <w:tcPr>
            <w:tcW w:type="pct" w:w="60%"/>
          </w:tcPr>
          <w:p>
            <w:r>
              <w:t xml:space="preserve">8 hours</w:t>
            </w:r>
          </w:p>
        </w:tc>
      </w:tr>
    </w:tbl>
    <w:p>
      <w:pPr>
        <w:spacing w:line="240" w:after="200"/>
      </w:pPr>
    </w:p>
    <w:p>
      <w:pPr>
        <w:spacing w:line="240" w:after="150"/>
      </w:pPr>
      <w:r>
        <w:t xml:space="preserve">Recovery Point Objective (RPO): Maximum acceptable data loss in case of failure.</w:t>
      </w:r>
    </w:p>
    <w:p>
      <w:pPr>
        <w:pStyle w:val="ListParagraph"/>
        <w:numPr>
          <w:ilvl w:val="0"/>
          <w:numId w:val="1"/>
        </w:numPr>
        <w:spacing w:after="100"/>
      </w:pPr>
      <w:r>
        <w:t xml:space="preserve">Policy administration and claims systems: RPO 1 hour (backups every 60 minutes)</w:t>
      </w:r>
    </w:p>
    <w:p>
      <w:pPr>
        <w:pStyle w:val="ListParagraph"/>
        <w:numPr>
          <w:ilvl w:val="0"/>
          <w:numId w:val="1"/>
        </w:numPr>
        <w:spacing w:after="100"/>
      </w:pPr>
      <w:r>
        <w:t xml:space="preserve">Equine health records: RPO 2 hours (backups every 120 minutes)</w:t>
      </w:r>
    </w:p>
    <w:p>
      <w:pPr>
        <w:pStyle w:val="ListParagraph"/>
        <w:numPr>
          <w:ilvl w:val="0"/>
          <w:numId w:val="1"/>
        </w:numPr>
        <w:spacing w:after="200"/>
      </w:pPr>
      <w:r>
        <w:t xml:space="preserve">Financial systems: RPO 4 hours (daily reconciliation acceptable)</w:t>
      </w:r>
    </w:p>
    <w:p>
      <w:pPr>
        <w:pStyle w:val="Heading1"/>
        <w:spacing w:after="200"/>
      </w:pPr>
      <w:r>
        <w:t xml:space="preserve">5. CRITICAL SYSTEMS AND DATA</w:t>
      </w:r>
    </w:p>
    <w:p>
      <w:pPr>
        <w:spacing w:line="240" w:after="150"/>
      </w:pPr>
      <w:r>
        <w:t xml:space="preserve">Critical systems for business continuity are:</w:t>
      </w:r>
    </w:p>
    <w:p>
      <w:pPr>
        <w:pStyle w:val="ListParagraph"/>
        <w:numPr>
          <w:ilvl w:val="0"/>
          <w:numId w:val="1"/>
        </w:numPr>
        <w:spacing w:after="100"/>
      </w:pPr>
      <w:r>
        <w:t xml:space="preserve">Policy Management System: Core application for policy administration, underwriting and renewals. Must be recovery priority 1.</w:t>
      </w:r>
    </w:p>
    <w:p>
      <w:pPr>
        <w:pStyle w:val="ListParagraph"/>
        <w:numPr>
          <w:ilvl w:val="0"/>
          <w:numId w:val="1"/>
        </w:numPr>
        <w:spacing w:after="100"/>
      </w:pPr>
      <w:r>
        <w:t xml:space="preserve">Claims Management System: Processes and tracks insurance claims including horse injury assessments. Recovery priority 1.</w:t>
      </w:r>
    </w:p>
    <w:p>
      <w:pPr>
        <w:pStyle w:val="ListParagraph"/>
        <w:numPr>
          <w:ilvl w:val="0"/>
          <w:numId w:val="1"/>
        </w:numPr>
        <w:spacing w:after="100"/>
      </w:pPr>
      <w:r>
        <w:t xml:space="preserve">Database Servers: MySQL and PostgreSQL databases containing policy, claims and equine health data. Recovery priority 1.</w:t>
      </w:r>
    </w:p>
    <w:p>
      <w:pPr>
        <w:pStyle w:val="ListParagraph"/>
        <w:numPr>
          <w:ilvl w:val="0"/>
          <w:numId w:val="1"/>
        </w:numPr>
        <w:spacing w:after="100"/>
      </w:pPr>
      <w:r>
        <w:t xml:space="preserve">Email System: Office 365 for internal and external communications. Recovery priority 2.</w:t>
      </w:r>
    </w:p>
    <w:p>
      <w:pPr>
        <w:pStyle w:val="ListParagraph"/>
        <w:numPr>
          <w:ilvl w:val="0"/>
          <w:numId w:val="1"/>
        </w:numPr>
        <w:spacing w:after="200"/>
      </w:pPr>
      <w:r>
        <w:t xml:space="preserve">File Servers: Shared storage for documents, reports and data files. Recovery priority 2.</w:t>
      </w:r>
    </w:p>
    <w:p>
      <w:pPr>
        <w:pStyle w:val="Heading1"/>
        <w:spacing w:after="200"/>
      </w:pPr>
      <w:r>
        <w:t xml:space="preserve">6. DISASTER RECOVERY PROCEDURES</w:t>
      </w:r>
    </w:p>
    <w:p>
      <w:pPr>
        <w:spacing w:after="150"/>
      </w:pPr>
      <w:r>
        <w:t xml:space="preserve">Backup Strategy:</w:t>
      </w:r>
    </w:p>
    <w:p>
      <w:pPr>
        <w:pStyle w:val="ListParagraph"/>
        <w:numPr>
          <w:ilvl w:val="0"/>
          <w:numId w:val="1"/>
        </w:numPr>
        <w:spacing w:after="100"/>
      </w:pPr>
      <w:r>
        <w:t xml:space="preserve">Daily full backups of critical databases performed at 22:00 AEST. Incremental backups every 4 hours.</w:t>
      </w:r>
    </w:p>
    <w:p>
      <w:pPr>
        <w:pStyle w:val="ListParagraph"/>
        <w:numPr>
          <w:ilvl w:val="0"/>
          <w:numId w:val="1"/>
        </w:numPr>
        <w:spacing w:after="100"/>
      </w:pPr>
      <w:r>
        <w:t xml:space="preserve">Backups stored offsite using encrypted cloud storage (AWS S3) with 99.99% durability.</w:t>
      </w:r>
    </w:p>
    <w:p>
      <w:pPr>
        <w:pStyle w:val="ListParagraph"/>
        <w:numPr>
          <w:ilvl w:val="0"/>
          <w:numId w:val="1"/>
        </w:numPr>
        <w:spacing w:after="150"/>
      </w:pPr>
      <w:r>
        <w:t xml:space="preserve">Backup retention: 90 days for incrementals, 1 year for full backups.</w:t>
      </w:r>
    </w:p>
    <w:p>
      <w:pPr>
        <w:spacing w:after="150"/>
      </w:pPr>
      <w:r>
        <w:t xml:space="preserve">Failover Capabilities:</w:t>
      </w:r>
    </w:p>
    <w:p>
      <w:pPr>
        <w:pStyle w:val="ListParagraph"/>
        <w:numPr>
          <w:ilvl w:val="0"/>
          <w:numId w:val="1"/>
        </w:numPr>
        <w:spacing w:after="100"/>
      </w:pPr>
      <w:r>
        <w:t xml:space="preserve">Database servers configured for replication to secondary data centre enabling failover in under 15 minutes.</w:t>
      </w:r>
    </w:p>
    <w:p>
      <w:pPr>
        <w:pStyle w:val="ListParagraph"/>
        <w:numPr>
          <w:ilvl w:val="0"/>
          <w:numId w:val="1"/>
        </w:numPr>
        <w:spacing w:after="100"/>
      </w:pPr>
      <w:r>
        <w:t xml:space="preserve">Policy and claims applications deployed across multiple availability zones.</w:t>
      </w:r>
    </w:p>
    <w:p>
      <w:pPr>
        <w:pStyle w:val="ListParagraph"/>
        <w:numPr>
          <w:ilvl w:val="0"/>
          <w:numId w:val="1"/>
        </w:numPr>
        <w:spacing w:after="150"/>
      </w:pPr>
      <w:r>
        <w:t xml:space="preserve">DNS configured to reroute traffic to alternate sites during outages.</w:t>
      </w:r>
    </w:p>
    <w:p>
      <w:pPr>
        <w:spacing w:after="150"/>
      </w:pPr>
      <w:r>
        <w:t xml:space="preserve">Recovery Procedure:</w:t>
      </w:r>
    </w:p>
    <w:p>
      <w:pPr>
        <w:pStyle w:val="ListParagraph"/>
        <w:numPr>
          <w:ilvl w:val="0"/>
          <w:numId w:val="1"/>
        </w:numPr>
        <w:spacing w:after="100"/>
      </w:pPr>
      <w:r>
        <w:t xml:space="preserve">Data Centre Failure: Automatic failover to secondary data centre. Staff notified and customers advised of service restoration.</w:t>
      </w:r>
    </w:p>
    <w:p>
      <w:pPr>
        <w:pStyle w:val="ListParagraph"/>
        <w:numPr>
          <w:ilvl w:val="0"/>
          <w:numId w:val="1"/>
        </w:numPr>
        <w:spacing w:after="100"/>
      </w:pPr>
      <w:r>
        <w:t xml:space="preserve">Partial System Failure: Restore from most recent backup. Validation testing performed before returning to service.</w:t>
      </w:r>
    </w:p>
    <w:p>
      <w:pPr>
        <w:pStyle w:val="ListParagraph"/>
        <w:numPr>
          <w:ilvl w:val="0"/>
          <w:numId w:val="1"/>
        </w:numPr>
        <w:spacing w:after="200"/>
      </w:pPr>
      <w:r>
        <w:t xml:space="preserve">Ransomware Attack: Restore from clean backup preceding infection. Malware analysis performed to assess impact.</w:t>
      </w:r>
    </w:p>
    <w:p>
      <w:pPr>
        <w:pStyle w:val="Heading1"/>
        <w:spacing w:after="200"/>
      </w:pPr>
      <w:r>
        <w:t xml:space="preserve">7. TESTING AND MAINTENANCE</w:t>
      </w:r>
    </w:p>
    <w:p>
      <w:pPr>
        <w:spacing w:after="150"/>
      </w:pPr>
      <w:r>
        <w:t xml:space="preserve">Recovery Testing:</w:t>
      </w:r>
    </w:p>
    <w:p>
      <w:pPr>
        <w:pStyle w:val="ListParagraph"/>
        <w:numPr>
          <w:ilvl w:val="0"/>
          <w:numId w:val="1"/>
        </w:numPr>
        <w:spacing w:after="100"/>
      </w:pPr>
      <w:r>
        <w:t xml:space="preserve">Monthly backup restoration tests performed on non-production systems to validate recoverability.</w:t>
      </w:r>
    </w:p>
    <w:p>
      <w:pPr>
        <w:pStyle w:val="ListParagraph"/>
        <w:numPr>
          <w:ilvl w:val="0"/>
          <w:numId w:val="1"/>
        </w:numPr>
        <w:spacing w:after="100"/>
      </w:pPr>
      <w:r>
        <w:t xml:space="preserve">Quarterly full disaster recovery drills test procedures and team coordination.</w:t>
      </w:r>
    </w:p>
    <w:p>
      <w:pPr>
        <w:pStyle w:val="ListParagraph"/>
        <w:numPr>
          <w:ilvl w:val="0"/>
          <w:numId w:val="1"/>
        </w:numPr>
        <w:spacing w:after="150"/>
      </w:pPr>
      <w:r>
        <w:t xml:space="preserve">Annual tabletop exercises involving executive leadership and department heads.</w:t>
      </w:r>
    </w:p>
    <w:p>
      <w:pPr>
        <w:spacing w:after="150"/>
      </w:pPr>
      <w:r>
        <w:t xml:space="preserve">Plan Maintenance:</w:t>
      </w:r>
    </w:p>
    <w:p>
      <w:pPr>
        <w:pStyle w:val="ListParagraph"/>
        <w:numPr>
          <w:ilvl w:val="0"/>
          <w:numId w:val="1"/>
        </w:numPr>
        <w:spacing w:after="100"/>
      </w:pPr>
      <w:r>
        <w:t xml:space="preserve">BCP is reviewed and updated annually each April by the IT department and business stakeholders.</w:t>
      </w:r>
    </w:p>
    <w:p>
      <w:pPr>
        <w:pStyle w:val="ListParagraph"/>
        <w:numPr>
          <w:ilvl w:val="0"/>
          <w:numId w:val="1"/>
        </w:numPr>
        <w:spacing w:after="100"/>
      </w:pPr>
      <w:r>
        <w:t xml:space="preserve">Contact lists, procedures and system information updated whenever changes occur.</w:t>
      </w:r>
    </w:p>
    <w:p>
      <w:pPr>
        <w:pStyle w:val="ListParagraph"/>
        <w:numPr>
          <w:ilvl w:val="0"/>
          <w:numId w:val="1"/>
        </w:numPr>
        <w:spacing w:after="200"/>
      </w:pPr>
      <w:r>
        <w:t xml:space="preserve">New staff receive business continuity training during onboarding.</w:t>
      </w:r>
    </w:p>
    <w:p>
      <w:pPr>
        <w:pStyle w:val="Heading1"/>
        <w:spacing w:after="200"/>
      </w:pPr>
      <w:r>
        <w:t xml:space="preserve">8. RESPONSIBILITIES</w:t>
      </w:r>
    </w:p>
    <w:p>
      <w:pPr>
        <w:pStyle w:val="ListParagraph"/>
        <w:numPr>
          <w:ilvl w:val="0"/>
          <w:numId w:val="1"/>
        </w:numPr>
        <w:spacing w:after="100"/>
      </w:pPr>
      <w:r>
        <w:t xml:space="preserve">CEO and Executive Leadership: Approve BCP and resource allocation for recovery capabilities. Ensure regulatory compliance.</w:t>
      </w:r>
    </w:p>
    <w:p>
      <w:pPr>
        <w:pStyle w:val="ListParagraph"/>
        <w:numPr>
          <w:ilvl w:val="0"/>
          <w:numId w:val="1"/>
        </w:numPr>
        <w:spacing w:after="100"/>
      </w:pPr>
      <w:r>
        <w:t xml:space="preserve">Head of IT (Sarah Williams): Develops and maintains disaster recovery procedures. Performs recovery testing. Manages backup infrastructure.</w:t>
      </w:r>
    </w:p>
    <w:p>
      <w:pPr>
        <w:pStyle w:val="ListParagraph"/>
        <w:numPr>
          <w:ilvl w:val="0"/>
          <w:numId w:val="1"/>
        </w:numPr>
        <w:spacing w:after="100"/>
      </w:pPr>
      <w:r>
        <w:t xml:space="preserve">Department Managers: Identify critical processes and recovery priorities. Participate in recovery testing and drills.</w:t>
      </w:r>
    </w:p>
    <w:p>
      <w:pPr>
        <w:pStyle w:val="ListParagraph"/>
        <w:numPr>
          <w:ilvl w:val="0"/>
          <w:numId w:val="1"/>
        </w:numPr>
        <w:spacing w:line="240" w:after="100"/>
      </w:pPr>
      <w:r>
        <w:t xml:space="preserve">All Staff: Maintain familiarity with business continuity procedures. Participate in training and drills. Report potential disruptions.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right w:val="none"/>
        <w:insideH w:val="none"/>
        <w:insideV w:val="none"/>
      </w:tblBorders>
    </w:tblPr>
    <w:tblGrid>
      <w:gridCol w:w="100"/>
      <w:gridCol w:w="100"/>
    </w:tblGrid>
    <w:tr>
      <w:tc>
        <w:tcPr>
          <w:tcW w:type="pct" w:w="50%"/>
        </w:tcPr>
        <w:p>
          <w:r>
            <w:t xml:space="preserve">HorseInsure Pty Ltd</w:t>
          </w:r>
        </w:p>
      </w:tc>
      <w:tc>
        <w:tcPr>
          <w:tcW w:type="pct" w:w="50%"/>
        </w:tcPr>
        <w:p>
          <w:r>
            <w:t xml:space="preserve">ABN 41 209 837 156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2026-02-15T07:25:37.556Z</dcterms:created>
  <dcterms:modified xsi:type="dcterms:W3CDTF">2026-02-15T07:25:37.556Z</dcterms:modified>
</cp:coreProperties>
</file>

<file path=docProps/custom.xml><?xml version="1.0" encoding="utf-8"?>
<Properties xmlns="http://schemas.openxmlformats.org/officeDocument/2006/custom-properties" xmlns:vt="http://schemas.openxmlformats.org/officeDocument/2006/docPropsVTypes"/>
</file>