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ASSET MANAGEMENT POLICY</w:t>
      </w:r>
    </w:p>
    <w:p>
      <w:pPr>
        <w:pStyle w:val="Heading1"/>
        <w:spacing w:before="200" w:after="200"/>
      </w:pPr>
      <w:r>
        <w:t xml:space="preserve">Policy Control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E7E6E6" w:val="clear"/>
          </w:tcPr>
          <w:p>
            <w:r>
              <w:t xml:space="preserve">Document ID</w:t>
            </w:r>
          </w:p>
        </w:tc>
        <w:tc>
          <w:tcPr>
            <w:tcW w:type="dxa" w:w="4000"/>
          </w:tcPr>
          <w:p>
            <w:r>
              <w:t xml:space="preserve">POL-013</w:t>
            </w:r>
          </w:p>
        </w:tc>
        <w:tc>
          <w:tcPr>
            <w:tcW w:type="dxa" w:w="2000"/>
            <w:shd w:fill="E7E6E6" w:val="clear"/>
          </w:tcPr>
          <w:p>
            <w:r>
              <w:t xml:space="preserve">Version</w:t>
            </w:r>
          </w:p>
        </w:tc>
        <w:tc>
          <w:tcPr>
            <w:tcW w:type="dxa" w:w="4000"/>
          </w:tcPr>
          <w:p>
            <w:r>
              <w:t xml:space="preserve">1.3</w:t>
            </w:r>
          </w:p>
        </w:tc>
      </w:tr>
      <w:tr>
        <w:tc>
          <w:tcPr>
            <w:tcW w:type="dxa" w:w="2000"/>
            <w:shd w:fill="E7E6E6" w:val="clear"/>
          </w:tcPr>
          <w:p>
            <w:r>
              <w:t xml:space="preserve">Policy Owner</w:t>
            </w:r>
          </w:p>
        </w:tc>
        <w:tc>
          <w:tcPr>
            <w:tcW w:type="dxa" w:w="4000"/>
          </w:tcPr>
          <w:p>
            <w:r>
              <w:t xml:space="preserve">Sarah Williams, Head of IT</w:t>
            </w:r>
          </w:p>
        </w:tc>
        <w:tc>
          <w:tcPr>
            <w:tcW w:type="dxa" w:w="2000"/>
            <w:shd w:fill="E7E6E6" w:val="clear"/>
          </w:tcPr>
          <w:p>
            <w:r>
              <w:t xml:space="preserve">Approved By</w:t>
            </w:r>
          </w:p>
        </w:tc>
        <w:tc>
          <w:tcPr>
            <w:tcW w:type="dxa" w:w="4000"/>
          </w:tcPr>
          <w:p>
            <w:r>
              <w:t xml:space="preserve">David Chen, CIO/CISO</w:t>
            </w:r>
          </w:p>
        </w:tc>
      </w:tr>
      <w:tr>
        <w:tc>
          <w:tcPr>
            <w:tcW w:type="dxa" w:w="2000"/>
            <w:shd w:fill="E7E6E6" w:val="clear"/>
          </w:tcPr>
          <w:p>
            <w:r>
              <w:t xml:space="preserve">Approval Date</w:t>
            </w:r>
          </w:p>
        </w:tc>
        <w:tc>
          <w:tcPr>
            <w:tcW w:type="dxa" w:w="4000"/>
          </w:tcPr>
          <w:p>
            <w:r>
              <w:t xml:space="preserve">6 December 2024</w:t>
            </w:r>
          </w:p>
        </w:tc>
        <w:tc>
          <w:tcPr>
            <w:tcW w:type="dxa" w:w="2000"/>
            <w:shd w:fill="E7E6E6" w:val="clear"/>
          </w:tcPr>
          <w:p>
            <w:r>
              <w:t xml:space="preserve">Next Review</w:t>
            </w:r>
          </w:p>
        </w:tc>
        <w:tc>
          <w:tcPr>
            <w:tcW w:type="dxa" w:w="4000"/>
          </w:tcPr>
          <w:p>
            <w:r>
              <w:t xml:space="preserve">6 December 2025</w:t>
            </w:r>
          </w:p>
        </w:tc>
      </w:tr>
    </w:tbl>
    <w:p>
      <w:pPr>
        <w:pStyle w:val="Heading1"/>
        <w:spacing w:before="300" w:after="200"/>
      </w:pPr>
      <w:r>
        <w:t xml:space="preserve">1. Purpose</w:t>
      </w:r>
    </w:p>
    <w:p>
      <w:pPr>
        <w:spacing w:after="200"/>
      </w:pPr>
      <w:r>
        <w:t xml:space="preserve">This policy establishes requirements for the identification, management, and protection of information assets at HorseInsure. Assets require proper tracking, assignment, and control to ensure they are used in accordance with business objectives and security requirements.</w:t>
      </w:r>
    </w:p>
    <w:p>
      <w:pPr>
        <w:pStyle w:val="Heading1"/>
        <w:spacing w:before="300" w:after="200"/>
      </w:pPr>
      <w:r>
        <w:t xml:space="preserve">2. Scope</w:t>
      </w:r>
    </w:p>
    <w:p>
      <w:pPr>
        <w:spacing w:after="150"/>
      </w:pPr>
      <w:r>
        <w:t xml:space="preserve">This policy applies to all information and IT assets owned, leased, or controlled by HorseInsure. Assets include:</w:t>
      </w:r>
    </w:p>
    <w:p>
      <w:pPr>
        <w:spacing w:after="100"/>
        <w:ind w:left="400"/>
      </w:pPr>
      <w:r>
        <w:t xml:space="preserve">Hardware (servers, laptops, desktops, mobile devices, printers, network equipment)</w:t>
      </w:r>
    </w:p>
    <w:p>
      <w:pPr>
        <w:spacing w:after="100"/>
        <w:ind w:left="400"/>
      </w:pPr>
      <w:r>
        <w:t xml:space="preserve">Software (operating systems, applications, databases, tools)</w:t>
      </w:r>
    </w:p>
    <w:p>
      <w:pPr>
        <w:spacing w:after="100"/>
        <w:ind w:left="400"/>
      </w:pPr>
      <w:r>
        <w:t xml:space="preserve">Information resources (documents, databases, backups, archives)</w:t>
      </w:r>
    </w:p>
    <w:p>
      <w:pPr>
        <w:spacing w:after="200"/>
        <w:ind w:left="400"/>
      </w:pPr>
      <w:r>
        <w:t xml:space="preserve">Intellectual property (source code, designs, trade secrets)</w:t>
      </w:r>
    </w:p>
    <w:p>
      <w:pPr>
        <w:pStyle w:val="Heading1"/>
        <w:spacing w:before="300" w:after="200"/>
      </w:pPr>
      <w:r>
        <w:t xml:space="preserve">3. Asset Identification and Classification</w:t>
      </w:r>
    </w:p>
    <w:p>
      <w:pPr>
        <w:pStyle w:val="Heading2"/>
        <w:spacing w:before="200" w:after="150"/>
      </w:pPr>
      <w:r>
        <w:t xml:space="preserve">3.1 Asset Inventory</w:t>
      </w:r>
    </w:p>
    <w:p>
      <w:pPr>
        <w:spacing w:after="200"/>
      </w:pPr>
      <w:r>
        <w:t xml:space="preserve">All IT assets are recorded in the centralized Asset Management System. Each asset is assigned a unique asset tag and ID number. Asset records include description, serial number, purchase date, location, owner, and custodian. Mobile devices and laptops are tracked by MAC address and hostname. Critical assets (servers, network devices) are tracked by IP address as well.</w:t>
      </w:r>
    </w:p>
    <w:p>
      <w:pPr>
        <w:pStyle w:val="Heading2"/>
        <w:spacing w:before="200" w:after="150"/>
      </w:pPr>
      <w:r>
        <w:t xml:space="preserve">3.2 Asset Classification</w:t>
      </w:r>
    </w:p>
    <w:p>
      <w:pPr>
        <w:spacing w:after="150"/>
      </w:pPr>
      <w:r>
        <w:t xml:space="preserve">All assets are classified as critical, high, medium, or low value based on:</w:t>
      </w:r>
    </w:p>
    <w:p>
      <w:pPr>
        <w:spacing w:after="100"/>
        <w:ind w:left="400"/>
      </w:pPr>
      <w:r>
        <w:t xml:space="preserve">Replacement cost</w:t>
      </w:r>
    </w:p>
    <w:p>
      <w:pPr>
        <w:spacing w:after="100"/>
        <w:ind w:left="400"/>
      </w:pPr>
      <w:r>
        <w:t xml:space="preserve">Importance to business operations</w:t>
      </w:r>
    </w:p>
    <w:p>
      <w:pPr>
        <w:spacing w:after="100"/>
        <w:ind w:left="400"/>
      </w:pPr>
      <w:r>
        <w:t xml:space="preserve">Access to sensitive information</w:t>
      </w:r>
    </w:p>
    <w:p>
      <w:pPr>
        <w:spacing w:after="200"/>
        <w:ind w:left="400"/>
      </w:pPr>
      <w:r>
        <w:t xml:space="preserve">Regulatory or contractual implications</w:t>
      </w:r>
    </w:p>
    <w:p>
      <w:r>
        <w:t xml:space="preserve">Page break</w:t>
      </w:r>
      <w:r>
        <w:br w:type="page"/>
      </w:r>
    </w:p>
    <w:p>
      <w:pPr>
        <w:pStyle w:val="Heading1"/>
        <w:spacing w:before="300" w:after="200"/>
      </w:pPr>
      <w:r>
        <w:t xml:space="preserve">4. Asset Ownership and Responsibility</w:t>
      </w:r>
    </w:p>
    <w:p>
      <w:pPr>
        <w:pStyle w:val="Heading2"/>
        <w:spacing w:before="200" w:after="150"/>
      </w:pPr>
      <w:r>
        <w:t xml:space="preserve">4.1 Asset Owners</w:t>
      </w:r>
    </w:p>
    <w:p>
      <w:pPr>
        <w:spacing w:after="200"/>
      </w:pPr>
      <w:r>
        <w:t xml:space="preserve">Each asset is assigned to an asset owner responsible for determining appropriate use, security requirements, and maintenance. For IT equipment, the IT Department is the asset owner. For software licenses, the software vendor relationship is managed by the IT Department or Procurement.</w:t>
      </w:r>
    </w:p>
    <w:p>
      <w:pPr>
        <w:pStyle w:val="Heading2"/>
        <w:spacing w:before="200" w:after="150"/>
      </w:pPr>
      <w:r>
        <w:t xml:space="preserve">4.2 Asset Custodians</w:t>
      </w:r>
    </w:p>
    <w:p>
      <w:pPr>
        <w:spacing w:after="200"/>
      </w:pPr>
      <w:r>
        <w:t xml:space="preserve">The individual to whom an asset is allocated is the asset custodian. The custodian is responsible for the physical security of the asset, ensuring it is used only for authorized purposes, reporting damage or loss, and returning the asset when no longer needed. Custodians must sign an asset custody form acknowledging their responsibilities.</w:t>
      </w:r>
    </w:p>
    <w:p>
      <w:pPr>
        <w:pStyle w:val="Heading1"/>
        <w:spacing w:before="300" w:after="200"/>
      </w:pPr>
      <w:r>
        <w:t xml:space="preserve">5. Acceptable Use</w:t>
      </w:r>
    </w:p>
    <w:p>
      <w:pPr>
        <w:pStyle w:val="Heading2"/>
        <w:spacing w:before="200" w:after="150"/>
      </w:pPr>
      <w:r>
        <w:t xml:space="preserve">5.1 Use of Assets</w:t>
      </w:r>
    </w:p>
    <w:p>
      <w:pPr>
        <w:spacing w:after="200"/>
      </w:pPr>
      <w:r>
        <w:t xml:space="preserve">Assets are provided for business purposes only. Personal use of company assets is restricted to incidental non-business use as permitted by management. Unauthorized use, modification, or removal of assets from the workplace is prohibited. Use of assets must comply with all security policies.</w:t>
      </w:r>
    </w:p>
    <w:p>
      <w:pPr>
        <w:pStyle w:val="Heading2"/>
        <w:spacing w:before="200" w:after="150"/>
      </w:pPr>
      <w:r>
        <w:t xml:space="preserve">5.2 Asset Maintenance</w:t>
      </w:r>
    </w:p>
    <w:p>
      <w:pPr>
        <w:spacing w:after="150"/>
      </w:pPr>
      <w:r>
        <w:t xml:space="preserve">Asset custodians are responsible for maintaining their assigned assets in good working condition. Maintenance includes:</w:t>
      </w:r>
    </w:p>
    <w:p>
      <w:pPr>
        <w:spacing w:after="100"/>
        <w:ind w:left="400"/>
      </w:pPr>
      <w:r>
        <w:t xml:space="preserve">Installing operating system and security patches</w:t>
      </w:r>
    </w:p>
    <w:p>
      <w:pPr>
        <w:spacing w:after="100"/>
        <w:ind w:left="400"/>
      </w:pPr>
      <w:r>
        <w:t xml:space="preserve">Running antivirus and anti-malware scans regularly</w:t>
      </w:r>
    </w:p>
    <w:p>
      <w:pPr>
        <w:spacing w:after="100"/>
        <w:ind w:left="400"/>
      </w:pPr>
      <w:r>
        <w:t xml:space="preserve">Monitoring storage capacity and performance</w:t>
      </w:r>
    </w:p>
    <w:p>
      <w:pPr>
        <w:spacing w:after="200"/>
        <w:ind w:left="400"/>
      </w:pPr>
      <w:r>
        <w:t xml:space="preserve">Reporting performance issues to IT support promptly</w:t>
      </w:r>
    </w:p>
    <w:p>
      <w:pPr>
        <w:pStyle w:val="Heading2"/>
        <w:spacing w:before="200" w:after="150"/>
      </w:pPr>
      <w:r>
        <w:t xml:space="preserve">5.3 Sharing of Assets</w:t>
      </w:r>
    </w:p>
    <w:p>
      <w:pPr>
        <w:spacing w:after="200"/>
      </w:pPr>
      <w:r>
        <w:t xml:space="preserve">Personal assets must not be shared among employees. If multiple users require access to a shared resource (e.g., lab equipment, conference room display), it must be managed by IT with formal access controls and usage logs. Sharing of passwords or access credentials is prohibited.</w:t>
      </w:r>
    </w:p>
    <w:p>
      <w:pPr>
        <w:pStyle w:val="Heading1"/>
        <w:spacing w:before="300" w:after="200"/>
      </w:pPr>
      <w:r>
        <w:t xml:space="preserve">6. Asset Disposal and Return</w:t>
      </w:r>
    </w:p>
    <w:p>
      <w:pPr>
        <w:pStyle w:val="Heading2"/>
        <w:spacing w:before="200" w:after="150"/>
      </w:pPr>
      <w:r>
        <w:t xml:space="preserve">6.1 End of Asset Life</w:t>
      </w:r>
    </w:p>
    <w:p>
      <w:pPr>
        <w:spacing w:after="200"/>
      </w:pPr>
      <w:r>
        <w:t xml:space="preserve">Assets reaching end of life must be managed through the formal disposal process. The IT Department determines disposal method based on asset type and data sensitivity. Assets containing storage media (hard drives, SSDs) must have data securely erased using DOD 5220.22-M or equivalent standards. Non-reusable assets are disposed of through certified e-waste recyclers.</w:t>
      </w:r>
    </w:p>
    <w:p>
      <w:pPr>
        <w:pStyle w:val="Heading2"/>
        <w:spacing w:before="200" w:after="150"/>
      </w:pPr>
      <w:r>
        <w:t xml:space="preserve">6.2 Employee Departure</w:t>
      </w:r>
    </w:p>
    <w:p>
      <w:pPr>
        <w:spacing w:after="200"/>
      </w:pPr>
      <w:r>
        <w:t xml:space="preserve">Upon employee departure, all assigned assets must be returned to the IT Department. Return is coordinated with the offboarding process. Assets are checked for damage and completeness. Data is securely erased if the asset will be reallocated. Failure to return assets may result in loss of final paycheck or other disciplinary action.</w:t>
      </w:r>
    </w:p>
    <w:p>
      <w:pPr>
        <w:pStyle w:val="Heading2"/>
        <w:spacing w:before="200" w:after="150"/>
      </w:pPr>
      <w:r>
        <w:t xml:space="preserve">6.3 Audit Trail</w:t>
      </w:r>
    </w:p>
    <w:p>
      <w:pPr>
        <w:spacing w:after="200"/>
      </w:pPr>
      <w:r>
        <w:t xml:space="preserve">All asset movements (allocation, return, disposal) are recorded in the Asset Management System with dates and responsible personnel. This creates a complete audit trail for compliance and accountability.</w:t>
      </w:r>
    </w:p>
    <w:p>
      <w:pPr>
        <w:pStyle w:val="Heading1"/>
        <w:spacing w:before="300" w:after="200"/>
      </w:pPr>
      <w:r>
        <w:t xml:space="preserve">7. Asset Audits</w:t>
      </w:r>
    </w:p>
    <w:p>
      <w:pPr>
        <w:spacing w:after="200"/>
      </w:pPr>
      <w:r>
        <w:t xml:space="preserve">Physical asset audits are conducted quarterly for critical and high-value assets. The audit verifies asset location, condition, and custody alignment with system records. Any discrepancies are investigated and resolved. Annual comprehensive audits cover all asset categories.</w:t>
      </w:r>
    </w:p>
    <w:p>
      <w:pPr>
        <w:pStyle w:val="Heading1"/>
        <w:spacing w:before="300" w:after="200"/>
      </w:pPr>
      <w:r>
        <w:t xml:space="preserve">8. Compliance and Reporting</w:t>
      </w:r>
    </w:p>
    <w:p>
      <w:pPr>
        <w:spacing w:after="200"/>
      </w:pPr>
      <w:r>
        <w:t xml:space="preserve">The IT Department reports on asset status quarterly to the CIO and management. Reports include new acquisitions, disposals, audit findings, and remediation actions. Non-compliance with asset policies is reported and enforced.</w:t>
      </w:r>
    </w:p>
    <w:p>
      <w:pPr>
        <w:pStyle w:val="Heading1"/>
        <w:spacing w:before="300" w:after="200"/>
      </w:pPr>
      <w:r>
        <w:t xml:space="preserve">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E7E6E6" w:val="clear"/>
          </w:tcPr>
          <w:p>
            <w:r>
              <w:t xml:space="preserve">Version</w:t>
            </w:r>
          </w:p>
        </w:tc>
        <w:tc>
          <w:tcPr>
            <w:tcW w:type="dxa" w:w="2500"/>
            <w:shd w:fill="E7E6E6" w:val="clear"/>
          </w:tcPr>
          <w:p>
            <w:r>
              <w:t xml:space="preserve">Date</w:t>
            </w:r>
          </w:p>
        </w:tc>
        <w:tc>
          <w:tcPr>
            <w:tcW w:type="dxa" w:w="2500"/>
            <w:shd w:fill="E7E6E6" w:val="clear"/>
          </w:tcPr>
          <w:p>
            <w:r>
              <w:t xml:space="preserve">Author</w:t>
            </w:r>
          </w:p>
        </w:tc>
        <w:tc>
          <w:tcPr>
            <w:tcW w:type="dxa" w:w="3500"/>
            <w:shd w:fill="E7E6E6" w:val="clear"/>
          </w:tcPr>
          <w:p>
            <w:r>
              <w:t xml:space="preserve">Changes</w:t>
            </w:r>
          </w:p>
        </w:tc>
      </w:tr>
      <w:tr>
        <w:tc>
          <w:tcPr>
            <w:tcW w:type="dxa" w:w="1500"/>
          </w:tcPr>
          <w:p>
            <w:r>
              <w:t xml:space="preserve">1.0</w:t>
            </w:r>
          </w:p>
        </w:tc>
        <w:tc>
          <w:tcPr>
            <w:tcW w:type="dxa" w:w="2500"/>
          </w:tcPr>
          <w:p>
            <w:r>
              <w:t xml:space="preserve">8 Jan 2024</w:t>
            </w:r>
          </w:p>
        </w:tc>
        <w:tc>
          <w:tcPr>
            <w:tcW w:type="dxa" w:w="2500"/>
          </w:tcPr>
          <w:p>
            <w:r>
              <w:t xml:space="preserve">S. Williams</w:t>
            </w:r>
          </w:p>
        </w:tc>
        <w:tc>
          <w:tcPr>
            <w:tcW w:type="dxa" w:w="3500"/>
          </w:tcPr>
          <w:p>
            <w:r>
              <w:t xml:space="preserve">Initial release</w:t>
            </w:r>
          </w:p>
        </w:tc>
      </w:tr>
      <w:tr>
        <w:tc>
          <w:tcPr>
            <w:tcW w:type="dxa" w:w="1500"/>
          </w:tcPr>
          <w:p>
            <w:r>
              <w:t xml:space="preserve">1.2</w:t>
            </w:r>
          </w:p>
        </w:tc>
        <w:tc>
          <w:tcPr>
            <w:tcW w:type="dxa" w:w="2500"/>
          </w:tcPr>
          <w:p>
            <w:r>
              <w:t xml:space="preserve">22 Aug 2024</w:t>
            </w:r>
          </w:p>
        </w:tc>
        <w:tc>
          <w:tcPr>
            <w:tcW w:type="dxa" w:w="2500"/>
          </w:tcPr>
          <w:p>
            <w:r>
              <w:t xml:space="preserve">S. Williams</w:t>
            </w:r>
          </w:p>
        </w:tc>
        <w:tc>
          <w:tcPr>
            <w:tcW w:type="dxa" w:w="3500"/>
          </w:tcPr>
          <w:p>
            <w:r>
              <w:t xml:space="preserve">Added mobile device tracking</w:t>
            </w:r>
          </w:p>
        </w:tc>
      </w:tr>
      <w:tr>
        <w:tc>
          <w:tcPr>
            <w:tcW w:type="dxa" w:w="1500"/>
          </w:tcPr>
          <w:p>
            <w:r>
              <w:t xml:space="preserve">1.3</w:t>
            </w:r>
          </w:p>
        </w:tc>
        <w:tc>
          <w:tcPr>
            <w:tcW w:type="dxa" w:w="2500"/>
          </w:tcPr>
          <w:p>
            <w:r>
              <w:t xml:space="preserve">6 Dec 2024</w:t>
            </w:r>
          </w:p>
        </w:tc>
        <w:tc>
          <w:tcPr>
            <w:tcW w:type="dxa" w:w="2500"/>
          </w:tcPr>
          <w:p>
            <w:r>
              <w:t xml:space="preserve">D. Chen</w:t>
            </w:r>
          </w:p>
        </w:tc>
        <w:tc>
          <w:tcPr>
            <w:tcW w:type="dxa" w:w="3500"/>
          </w:tcPr>
          <w:p>
            <w:r>
              <w:t xml:space="preserve">Enhanced audit procedures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CURRENT>CURRENT</CURR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Pr>
        <w:p>
          <w:r>
            <w:t xml:space="preserve">HorseInsure Pty Ltd</w:t>
          </w:r>
        </w:p>
        <w:p>
          <w:r>
            <w:t xml:space="preserve">ABN 41 209 837 156</w:t>
          </w:r>
        </w:p>
      </w:tc>
      <w:tc>
        <w:tcPr>
          <w:tcW w:type="dxa" w:w="3000"/>
        </w:tcPr>
        <w:p>
          <w:pPr>
            <w:jc w:val="right"/>
          </w:pPr>
          <w:r>
            <w:t xml:space="preserve">Asset Management Policy</w:t>
          </w:r>
        </w:p>
        <w:p>
          <w:pPr>
            <w:jc w:val="right"/>
          </w:pPr>
          <w:r>
            <w:t xml:space="preserve">POL-013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2026-02-15T07:25:17.465Z</dcterms:created>
  <dcterms:modified xsi:type="dcterms:W3CDTF">2026-02-15T07:25:17.465Z</dcterms:modified>
</cp:coreProperties>
</file>

<file path=docProps/custom.xml><?xml version="1.0" encoding="utf-8"?>
<Properties xmlns="http://schemas.openxmlformats.org/officeDocument/2006/custom-properties" xmlns:vt="http://schemas.openxmlformats.org/officeDocument/2006/docPropsVTypes"/>
</file>