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PRIVACY AND DATA PROTECTION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POL-014</w:t>
            </w:r>
          </w:p>
        </w:tc>
        <w:tc>
          <w:tcPr>
            <w:tcW w:type="dxa" w:w="2000"/>
            <w:shd w:fill="E7E6E6" w:val="clear"/>
          </w:tcPr>
          <w:p>
            <w:r>
              <w:t xml:space="preserve">Version</w:t>
            </w:r>
          </w:p>
        </w:tc>
        <w:tc>
          <w:tcPr>
            <w:tcW w:type="dxa" w:w="4000"/>
          </w:tcPr>
          <w:p>
            <w:r>
              <w:t xml:space="preserve">2.1</w:t>
            </w:r>
          </w:p>
        </w:tc>
      </w:tr>
      <w:tr>
        <w:tc>
          <w:tcPr>
            <w:tcW w:type="dxa" w:w="2000"/>
            <w:shd w:fill="E7E6E6" w:val="clear"/>
          </w:tcPr>
          <w:p>
            <w:r>
              <w:t xml:space="preserve">Policy Owner</w:t>
            </w:r>
          </w:p>
        </w:tc>
        <w:tc>
          <w:tcPr>
            <w:tcW w:type="dxa" w:w="4000"/>
          </w:tcPr>
          <w:p>
            <w:r>
              <w:t xml:space="preserve">Angela Torres, Compliance Manager</w:t>
            </w:r>
          </w:p>
        </w:tc>
        <w:tc>
          <w:tcPr>
            <w:tcW w:type="dxa" w:w="2000"/>
            <w:shd w:fill="E7E6E6" w:val="clear"/>
          </w:tcPr>
          <w:p>
            <w:r>
              <w:t xml:space="preserve">Approved By</w:t>
            </w:r>
          </w:p>
        </w:tc>
        <w:tc>
          <w:tcPr>
            <w:tcW w:type="dxa" w:w="4000"/>
          </w:tcPr>
          <w:p>
            <w:r>
              <w:t xml:space="preserve">Margaret Thornton, CEO</w:t>
            </w:r>
          </w:p>
        </w:tc>
      </w:tr>
      <w:tr>
        <w:tc>
          <w:tcPr>
            <w:tcW w:type="dxa" w:w="2000"/>
            <w:shd w:fill="E7E6E6" w:val="clear"/>
          </w:tcPr>
          <w:p>
            <w:r>
              <w:t xml:space="preserve">Approval Date</w:t>
            </w:r>
          </w:p>
        </w:tc>
        <w:tc>
          <w:tcPr>
            <w:tcW w:type="dxa" w:w="4000"/>
          </w:tcPr>
          <w:p>
            <w:r>
              <w:t xml:space="preserve">30 January 2025</w:t>
            </w:r>
          </w:p>
        </w:tc>
        <w:tc>
          <w:tcPr>
            <w:tcW w:type="dxa" w:w="2000"/>
            <w:shd w:fill="E7E6E6" w:val="clear"/>
          </w:tcPr>
          <w:p>
            <w:r>
              <w:t xml:space="preserve">Next Review</w:t>
            </w:r>
          </w:p>
        </w:tc>
        <w:tc>
          <w:tcPr>
            <w:tcW w:type="dxa" w:w="4000"/>
          </w:tcPr>
          <w:p>
            <w:r>
              <w:t xml:space="preserve">30 January 2026</w:t>
            </w:r>
          </w:p>
        </w:tc>
      </w:tr>
    </w:tbl>
    <w:p>
      <w:pPr>
        <w:pStyle w:val="Heading1"/>
        <w:spacing w:before="300" w:after="200"/>
      </w:pPr>
      <w:r>
        <w:t xml:space="preserve">1. Purpose</w:t>
      </w:r>
    </w:p>
    <w:p>
      <w:pPr>
        <w:spacing w:after="200"/>
      </w:pPr>
      <w:r>
        <w:t xml:space="preserve">This policy establishes requirements for the handling of personal information and sensitive data at HorseInsure Pty Ltd. HorseInsure is committed to protecting the privacy of policyholders, customers, employees, and other individuals whose information we hold. This policy complies with the Privacy Act 1988 (Cth) and the Australian Privacy Principles (APPs).</w:t>
      </w:r>
    </w:p>
    <w:p>
      <w:pPr>
        <w:pStyle w:val="Heading1"/>
        <w:spacing w:before="300" w:after="200"/>
      </w:pPr>
      <w:r>
        <w:t xml:space="preserve">2. Scope</w:t>
      </w:r>
    </w:p>
    <w:p>
      <w:pPr>
        <w:spacing w:after="150"/>
      </w:pPr>
      <w:r>
        <w:t xml:space="preserve">This policy applies to all personal information collected and held by HorseInsure, including:</w:t>
      </w:r>
    </w:p>
    <w:p>
      <w:pPr>
        <w:spacing w:after="100"/>
        <w:ind w:left="400"/>
      </w:pPr>
      <w:r>
        <w:t xml:space="preserve">Policyholder information (names, addresses, contact details, income, health)</w:t>
      </w:r>
    </w:p>
    <w:p>
      <w:pPr>
        <w:spacing w:after="100"/>
        <w:ind w:left="400"/>
      </w:pPr>
      <w:r>
        <w:t xml:space="preserve">Equine health and medical records</w:t>
      </w:r>
    </w:p>
    <w:p>
      <w:pPr>
        <w:spacing w:after="100"/>
        <w:ind w:left="400"/>
      </w:pPr>
      <w:r>
        <w:t xml:space="preserve">Claims and incident information</w:t>
      </w:r>
    </w:p>
    <w:p>
      <w:pPr>
        <w:spacing w:after="100"/>
        <w:ind w:left="400"/>
      </w:pPr>
      <w:r>
        <w:t xml:space="preserve">Employee personnel records and payroll information</w:t>
      </w:r>
    </w:p>
    <w:p>
      <w:pPr>
        <w:spacing w:after="200"/>
        <w:ind w:left="400"/>
      </w:pPr>
      <w:r>
        <w:t xml:space="preserve">Vendor and contractor information</w:t>
      </w:r>
    </w:p>
    <w:p>
      <w:pPr>
        <w:pStyle w:val="Heading1"/>
        <w:spacing w:before="300" w:after="200"/>
      </w:pPr>
      <w:r>
        <w:t xml:space="preserve">3. Australian Privacy Principles</w:t>
      </w:r>
    </w:p>
    <w:p>
      <w:pPr>
        <w:spacing w:after="150"/>
      </w:pPr>
      <w:r>
        <w:t xml:space="preserve">HorseInsure complies with the following Australian Privacy Principles:</w:t>
      </w:r>
    </w:p>
    <w:p>
      <w:pPr>
        <w:spacing w:after="100"/>
        <w:ind w:left="400"/>
      </w:pPr>
      <w:r>
        <w:t xml:space="preserve">APP 1: Open and transparent management of personal information. HorseInsure maintains a Privacy Policy published on its website describing personal information management practices.</w:t>
      </w:r>
    </w:p>
    <w:p>
      <w:pPr>
        <w:spacing w:after="100"/>
        <w:ind w:left="400"/>
      </w:pPr>
      <w:r>
        <w:t xml:space="preserve">APP 2: Collection of solicited personal information. HorseInsure collects personal information only when necessary for insurance functions or legal obligations.</w:t>
      </w:r>
    </w:p>
    <w:p>
      <w:pPr>
        <w:spacing w:after="100"/>
        <w:ind w:left="400"/>
      </w:pPr>
      <w:r>
        <w:t xml:space="preserve">APP 3: Collection of unsolicited personal information. Unsolicited information is assessed for retention need and securely destroyed if not required.</w:t>
      </w:r>
    </w:p>
    <w:p>
      <w:pPr>
        <w:spacing w:after="100"/>
        <w:ind w:left="400"/>
      </w:pPr>
      <w:r>
        <w:t xml:space="preserve">APP 4: Notification and accuracy. Individuals are informed of privacy practices when personal information is collected. Accuracy of records is maintained through regular review.</w:t>
      </w:r>
    </w:p>
    <w:p>
      <w:pPr>
        <w:spacing w:after="100"/>
        <w:ind w:left="400"/>
      </w:pPr>
      <w:r>
        <w:t xml:space="preserve">APP 5: Notification of access and correction. Individuals have the right to access their personal information and request corrections.</w:t>
      </w:r>
    </w:p>
    <w:p>
      <w:pPr>
        <w:spacing w:after="100"/>
        <w:ind w:left="400"/>
      </w:pPr>
      <w:r>
        <w:t xml:space="preserve">APP 6: Use or disclosure - general. Personal information is used or disclosed only for primary purposes or directly related secondary purposes.</w:t>
      </w:r>
    </w:p>
    <w:p>
      <w:pPr>
        <w:spacing w:after="100"/>
        <w:ind w:left="400"/>
      </w:pPr>
      <w:r>
        <w:t xml:space="preserve">APP 7: Direct marketing. Use of personal information for marketing purposes requires consent and provides opt-out mechanisms.</w:t>
      </w:r>
    </w:p>
    <w:p>
      <w:pPr>
        <w:spacing w:after="100"/>
        <w:ind w:left="400"/>
      </w:pPr>
      <w:r>
        <w:t xml:space="preserve">APP 9: Adoption, use or disclosure of government-related identifiers. Government identifiers (TFN, ABN) are used only where required by law.</w:t>
      </w:r>
    </w:p>
    <w:p>
      <w:pPr>
        <w:spacing w:after="100"/>
        <w:ind w:left="400"/>
      </w:pPr>
      <w:r>
        <w:t xml:space="preserve">APP 10: Quality of personal information. Personal information is kept accurate, up-to-date, and complete. A process for individuals to request corrections is maintained.</w:t>
      </w:r>
    </w:p>
    <w:p>
      <w:pPr>
        <w:spacing w:after="100"/>
        <w:ind w:left="400"/>
      </w:pPr>
      <w:r>
        <w:t xml:space="preserve">APP 11: Security of personal information. Personal information is protected through security measures against misuse, interference, loss, and unauthorized access.</w:t>
      </w:r>
    </w:p>
    <w:p>
      <w:pPr>
        <w:spacing w:after="100"/>
        <w:ind w:left="400"/>
      </w:pPr>
      <w:r>
        <w:t xml:space="preserve">APP 12: Access and correction. Individuals have the right to request access to personal information and seek correction of inaccurate information.</w:t>
      </w:r>
    </w:p>
    <w:p>
      <w:pPr>
        <w:spacing w:after="200"/>
        <w:ind w:left="400"/>
      </w:pPr>
      <w:r>
        <w:t xml:space="preserve">APP 13: Complaints management. Complaints about privacy practices are managed through a formal complaints procedure.</w:t>
      </w:r>
    </w:p>
    <w:p>
      <w:r>
        <w:t xml:space="preserve">Page break</w:t>
      </w:r>
      <w:r>
        <w:br w:type="page"/>
      </w:r>
    </w:p>
    <w:p>
      <w:pPr>
        <w:pStyle w:val="Heading1"/>
        <w:spacing w:before="300" w:after="200"/>
      </w:pPr>
      <w:r>
        <w:t xml:space="preserve">4. Consent and Disclosure</w:t>
      </w:r>
    </w:p>
    <w:p>
      <w:pPr>
        <w:pStyle w:val="Heading2"/>
        <w:spacing w:before="200" w:after="150"/>
      </w:pPr>
      <w:r>
        <w:t xml:space="preserve">4.1 Policyholder Consent</w:t>
      </w:r>
    </w:p>
    <w:p>
      <w:pPr>
        <w:spacing w:after="200"/>
      </w:pPr>
      <w:r>
        <w:t xml:space="preserve">Personal information collected from policyholders includes consent for use in insurance underwriting, claims management, and regulatory compliance. Collection forms explicitly describe intended uses. Secondary uses (e.g., statistical analysis, product development) require separate consent.</w:t>
      </w:r>
    </w:p>
    <w:p>
      <w:pPr>
        <w:pStyle w:val="Heading2"/>
        <w:spacing w:before="200" w:after="150"/>
      </w:pPr>
      <w:r>
        <w:t xml:space="preserve">4.2 Third-Party Disclosure</w:t>
      </w:r>
    </w:p>
    <w:p>
      <w:pPr>
        <w:spacing w:after="150"/>
      </w:pPr>
      <w:r>
        <w:t xml:space="preserve">Personal information is disclosed to third parties only where authorized by law or with individual consent. Permitted disclosures include:</w:t>
      </w:r>
    </w:p>
    <w:p>
      <w:pPr>
        <w:spacing w:after="100"/>
        <w:ind w:left="400"/>
      </w:pPr>
      <w:r>
        <w:t xml:space="preserve">Claims adjusters and investigators</w:t>
      </w:r>
    </w:p>
    <w:p>
      <w:pPr>
        <w:spacing w:after="100"/>
        <w:ind w:left="400"/>
      </w:pPr>
      <w:r>
        <w:t xml:space="preserve">Reinsurance partners (with name removal where possible)</w:t>
      </w:r>
    </w:p>
    <w:p>
      <w:pPr>
        <w:spacing w:after="100"/>
        <w:ind w:left="400"/>
      </w:pPr>
      <w:r>
        <w:t xml:space="preserve">Regulatory bodies and law enforcement</w:t>
      </w:r>
    </w:p>
    <w:p>
      <w:pPr>
        <w:spacing w:after="100"/>
        <w:ind w:left="400"/>
      </w:pPr>
      <w:r>
        <w:t xml:space="preserve">Professional advisors (legal, accounting)</w:t>
      </w:r>
    </w:p>
    <w:p>
      <w:pPr>
        <w:spacing w:after="200"/>
        <w:ind w:left="400"/>
      </w:pPr>
      <w:r>
        <w:t xml:space="preserve">Service providers (IT, facilities, collection agencies)</w:t>
      </w:r>
    </w:p>
    <w:p>
      <w:pPr>
        <w:spacing w:after="200"/>
      </w:pPr>
      <w:r>
        <w:t xml:space="preserve">Disclosed third parties must provide equivalent privacy protection and must not use information for any purpose other than the disclosure reason.</w:t>
      </w:r>
    </w:p>
    <w:p>
      <w:pPr>
        <w:pStyle w:val="Heading1"/>
        <w:spacing w:before="300" w:after="200"/>
      </w:pPr>
      <w:r>
        <w:t xml:space="preserve">5. Data Breach Notification</w:t>
      </w:r>
    </w:p>
    <w:p>
      <w:pPr>
        <w:pStyle w:val="Heading2"/>
        <w:spacing w:before="200" w:after="150"/>
      </w:pPr>
      <w:r>
        <w:t xml:space="preserve">5.1 Breach Response</w:t>
      </w:r>
    </w:p>
    <w:p>
      <w:pPr>
        <w:spacing w:after="150"/>
      </w:pPr>
      <w:r>
        <w:t xml:space="preserve">Upon discovery of a data breach involving personal information, HorseInsure immediately initiates a breach response procedure:</w:t>
      </w:r>
    </w:p>
    <w:p>
      <w:pPr>
        <w:spacing w:after="100"/>
        <w:ind w:left="400"/>
      </w:pPr>
      <w:r>
        <w:t xml:space="preserve">Containment: Stop the unauthorized access and isolate affected systems</w:t>
      </w:r>
    </w:p>
    <w:p>
      <w:pPr>
        <w:spacing w:after="100"/>
        <w:ind w:left="400"/>
      </w:pPr>
      <w:r>
        <w:t xml:space="preserve">Assessment: Determine the scope, nature, and individuals affected</w:t>
      </w:r>
    </w:p>
    <w:p>
      <w:pPr>
        <w:spacing w:after="100"/>
        <w:ind w:left="400"/>
      </w:pPr>
      <w:r>
        <w:t xml:space="preserve">Notification: Notify affected individuals without unreasonable delay</w:t>
      </w:r>
    </w:p>
    <w:p>
      <w:pPr>
        <w:spacing w:after="200"/>
        <w:ind w:left="400"/>
      </w:pPr>
      <w:r>
        <w:t xml:space="preserve">Documentation: Record all details and remediation actions</w:t>
      </w:r>
    </w:p>
    <w:p>
      <w:pPr>
        <w:pStyle w:val="Heading2"/>
        <w:spacing w:before="200" w:after="150"/>
      </w:pPr>
      <w:r>
        <w:t xml:space="preserve">5.2 Individual Notification</w:t>
      </w:r>
    </w:p>
    <w:p>
      <w:pPr>
        <w:spacing w:after="200"/>
      </w:pPr>
      <w:r>
        <w:t xml:space="preserve">Individuals whose personal information has been compromised are notified at their last known contact address or email address. Notification includes information about the breach, types of information exposed, steps taken to secure systems, and recommended protective actions. Notification occurs within 14 days of discovery unless law enforcement requests delay.</w:t>
      </w:r>
    </w:p>
    <w:p>
      <w:pPr>
        <w:pStyle w:val="Heading2"/>
        <w:spacing w:before="200" w:after="150"/>
      </w:pPr>
      <w:r>
        <w:t xml:space="preserve">5.3 Regulatory Notification</w:t>
      </w:r>
    </w:p>
    <w:p>
      <w:pPr>
        <w:spacing w:after="200"/>
      </w:pPr>
      <w:r>
        <w:t xml:space="preserve">Breaches meeting serious harm criteria are reported to the Office of the Australian Information Commissioner (OAIC) without unreasonable delay and no later than 30 days of discovery.</w:t>
      </w:r>
    </w:p>
    <w:p>
      <w:pPr>
        <w:pStyle w:val="Heading1"/>
        <w:spacing w:before="300" w:after="200"/>
      </w:pPr>
      <w:r>
        <w:t xml:space="preserve">6. Data Storage and Retention</w:t>
      </w:r>
    </w:p>
    <w:p>
      <w:pPr>
        <w:spacing w:after="200"/>
      </w:pPr>
      <w:r>
        <w:t xml:space="preserve">Personal information is stored securely in encrypted databases at HorseInsure's Australian facilities. Data is retained only as long as required for business purposes and legal obligations. Active policyholder data is retained for the duration of the relationship plus 6 years for tax and insurance regulatory purposes. After retention periods expire, data is securely destroyed.</w:t>
      </w:r>
    </w:p>
    <w:p>
      <w:pPr>
        <w:pStyle w:val="Heading1"/>
        <w:spacing w:before="300" w:after="200"/>
      </w:pPr>
      <w:r>
        <w:t xml:space="preserve">7. Individual Rights</w:t>
      </w:r>
    </w:p>
    <w:p>
      <w:pPr>
        <w:pStyle w:val="Heading2"/>
        <w:spacing w:before="200" w:after="150"/>
      </w:pPr>
      <w:r>
        <w:t xml:space="preserve">7.1 Access Requests</w:t>
      </w:r>
    </w:p>
    <w:p>
      <w:pPr>
        <w:spacing w:after="200"/>
      </w:pPr>
      <w:r>
        <w:t xml:space="preserve">Individuals may request access to personal information held by HorseInsure by contacting privacy@horseinsure.com.au. Requests are processed within 30 days. Personal information is provided in a clear, accessible format. If information cannot be provided, reasons are explained.</w:t>
      </w:r>
    </w:p>
    <w:p>
      <w:pPr>
        <w:pStyle w:val="Heading2"/>
        <w:spacing w:before="200" w:after="150"/>
      </w:pPr>
      <w:r>
        <w:t xml:space="preserve">7.2 Correction Requests</w:t>
      </w:r>
    </w:p>
    <w:p>
      <w:pPr>
        <w:spacing w:after="200"/>
      </w:pPr>
      <w:r>
        <w:t xml:space="preserve">Individuals may request correction of inaccurate personal information. HorseInsure assesses the request and either makes corrections or notes the individual's request for correction. If correction is refused, reasons are provided.</w:t>
      </w:r>
    </w:p>
    <w:p>
      <w:pPr>
        <w:pStyle w:val="Heading1"/>
        <w:spacing w:before="300" w:after="200"/>
      </w:pPr>
      <w:r>
        <w:t xml:space="preserve">8. Complaints</w:t>
      </w:r>
    </w:p>
    <w:p>
      <w:pPr>
        <w:spacing w:after="200"/>
      </w:pPr>
      <w:r>
        <w:t xml:space="preserve">Complaints about HorseInsure's handling of personal information should be directed to privacy@horseinsure.com.au. Complaints are acknowledged within 5 business days. Investigations are completed within 30 days. If unsatisfied, individuals may lodge a complaint with the OAIC.</w:t>
      </w:r>
    </w:p>
    <w:p>
      <w:pPr>
        <w:pStyle w:val="Heading1"/>
        <w:spacing w:before="300" w:after="200"/>
      </w:pPr>
      <w:r>
        <w:t xml:space="preserve">9. Employee Responsibilities</w:t>
      </w:r>
    </w:p>
    <w:p>
      <w:pPr>
        <w:spacing w:after="150"/>
      </w:pPr>
      <w:r>
        <w:t xml:space="preserve">All employees with access to personal information must:</w:t>
      </w:r>
    </w:p>
    <w:p>
      <w:pPr>
        <w:spacing w:after="100"/>
        <w:ind w:left="400"/>
      </w:pPr>
      <w:r>
        <w:t xml:space="preserve">Treat personal information confidentially</w:t>
      </w:r>
    </w:p>
    <w:p>
      <w:pPr>
        <w:spacing w:after="100"/>
        <w:ind w:left="400"/>
      </w:pPr>
      <w:r>
        <w:t xml:space="preserve">Use personal information only for authorized purposes</w:t>
      </w:r>
    </w:p>
    <w:p>
      <w:pPr>
        <w:spacing w:after="100"/>
        <w:ind w:left="400"/>
      </w:pPr>
      <w:r>
        <w:t xml:space="preserve">Report suspicious access or breaches immediately</w:t>
      </w:r>
    </w:p>
    <w:p>
      <w:pPr>
        <w:spacing w:after="200"/>
        <w:ind w:left="400"/>
      </w:pPr>
      <w:r>
        <w:t xml:space="preserve">Complete annual privacy training</w:t>
      </w:r>
    </w:p>
    <w:p>
      <w:pPr>
        <w:pStyle w:val="Heading1"/>
        <w:spacing w:before="300" w:after="200"/>
      </w:pPr>
      <w:r>
        <w:t xml:space="preserve">10. Compliance and Review</w:t>
      </w:r>
    </w:p>
    <w:p>
      <w:pPr>
        <w:spacing w:after="200"/>
      </w:pPr>
      <w:r>
        <w:t xml:space="preserve">Compliance with this policy is audited annually. The Compliance Manager reports privacy incidents and audit findings to the CEO and Board. This policy is reviewed annually or when legislation changes.</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19 Jul 2023</w:t>
            </w:r>
          </w:p>
        </w:tc>
        <w:tc>
          <w:tcPr>
            <w:tcW w:type="dxa" w:w="2500"/>
          </w:tcPr>
          <w:p>
            <w:r>
              <w:t xml:space="preserve">A. Torres</w:t>
            </w:r>
          </w:p>
        </w:tc>
        <w:tc>
          <w:tcPr>
            <w:tcW w:type="dxa" w:w="3500"/>
          </w:tcPr>
          <w:p>
            <w:r>
              <w:t xml:space="preserve">Initial release</w:t>
            </w:r>
          </w:p>
        </w:tc>
      </w:tr>
      <w:tr>
        <w:tc>
          <w:tcPr>
            <w:tcW w:type="dxa" w:w="1500"/>
          </w:tcPr>
          <w:p>
            <w:r>
              <w:t xml:space="preserve">2.0</w:t>
            </w:r>
          </w:p>
        </w:tc>
        <w:tc>
          <w:tcPr>
            <w:tcW w:type="dxa" w:w="2500"/>
          </w:tcPr>
          <w:p>
            <w:r>
              <w:t xml:space="preserve">12 Oct 2024</w:t>
            </w:r>
          </w:p>
        </w:tc>
        <w:tc>
          <w:tcPr>
            <w:tcW w:type="dxa" w:w="2500"/>
          </w:tcPr>
          <w:p>
            <w:r>
              <w:t xml:space="preserve">A. Torres</w:t>
            </w:r>
          </w:p>
        </w:tc>
        <w:tc>
          <w:tcPr>
            <w:tcW w:type="dxa" w:w="3500"/>
          </w:tcPr>
          <w:p>
            <w:r>
              <w:t xml:space="preserve">Added breach notification</w:t>
            </w:r>
          </w:p>
        </w:tc>
      </w:tr>
      <w:tr>
        <w:tc>
          <w:tcPr>
            <w:tcW w:type="dxa" w:w="1500"/>
          </w:tcPr>
          <w:p>
            <w:r>
              <w:t xml:space="preserve">2.1</w:t>
            </w:r>
          </w:p>
        </w:tc>
        <w:tc>
          <w:tcPr>
            <w:tcW w:type="dxa" w:w="2500"/>
          </w:tcPr>
          <w:p>
            <w:r>
              <w:t xml:space="preserve">30 Jan 2025</w:t>
            </w:r>
          </w:p>
        </w:tc>
        <w:tc>
          <w:tcPr>
            <w:tcW w:type="dxa" w:w="2500"/>
          </w:tcPr>
          <w:p>
            <w:r>
              <w:t xml:space="preserve">M. Thornton</w:t>
            </w:r>
          </w:p>
        </w:tc>
        <w:tc>
          <w:tcPr>
            <w:tcW w:type="dxa" w:w="3500"/>
          </w:tcPr>
          <w:p>
            <w:r>
              <w:t xml:space="preserve">Enhanced compliance controls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Privacy &amp; Data Protection</w:t>
          </w:r>
        </w:p>
        <w:p>
          <w:pPr>
            <w:jc w:val="right"/>
          </w:pPr>
          <w:r>
            <w:t xml:space="preserve">POL-014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2026-02-15T07:26:01.141Z</dcterms:created>
  <dcterms:modified xsi:type="dcterms:W3CDTF">2026-02-15T07:26:01.141Z</dcterms:modified>
</cp:coreProperties>
</file>

<file path=docProps/custom.xml><?xml version="1.0" encoding="utf-8"?>
<Properties xmlns="http://schemas.openxmlformats.org/officeDocument/2006/custom-properties" xmlns:vt="http://schemas.openxmlformats.org/officeDocument/2006/docPropsVTypes"/>
</file>