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jc w:val="center"/>
      </w:pPr>
      <w:r>
        <w:t xml:space="preserve">HORSEINSURE PTY LTD</w:t>
      </w:r>
    </w:p>
    <w:p>
      <w:pPr>
        <w:pStyle w:val="Normal"/>
        <w:jc w:val="center"/>
      </w:pPr>
      <w:r>
        <w:t xml:space="preserve">User Access Management Procedure</w:t>
      </w:r>
    </w:p>
    <w:p>
      <w:pPr>
        <w:pStyle w:val="Normal"/>
        <w:jc w:val="center"/>
      </w:pPr>
      <w:r>
        <w:t xml:space="preserve">PRO-001 v2.1</w:t>
      </w:r>
    </w:p>
    <w:p>
      <w:r>
        <w:t xml:space="preserve"/>
      </w:r>
    </w:p>
    <w:p>
      <w:pPr>
        <w:pStyle w:val="Normal"/>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User Access Management Procedure</w:t>
            </w:r>
          </w:p>
        </w:tc>
      </w:tr>
      <w:tr>
        <w:tc>
          <w:tcPr>
            <w:tcW w:type="dxa" w:w="2000"/>
            <w:shd w:fill="FFFFFF" w:val="clear"/>
          </w:tcPr>
          <w:p>
            <w:r>
              <w:t xml:space="preserve">Document Number</w:t>
            </w:r>
          </w:p>
        </w:tc>
        <w:tc>
          <w:tcPr>
            <w:tcW w:type="dxa" w:w="4000"/>
            <w:shd w:fill="FFFFFF" w:val="clear"/>
          </w:tcPr>
          <w:p>
            <w:r>
              <w:t xml:space="preserve">PRO-001</w:t>
            </w:r>
          </w:p>
        </w:tc>
      </w:tr>
      <w:tr>
        <w:tc>
          <w:tcPr>
            <w:tcW w:type="dxa" w:w="2000"/>
            <w:shd w:fill="CCCCCC" w:val="clear"/>
          </w:tcPr>
          <w:p>
            <w:r>
              <w:t xml:space="preserve">Version</w:t>
            </w:r>
          </w:p>
        </w:tc>
        <w:tc>
          <w:tcPr>
            <w:tcW w:type="dxa" w:w="4000"/>
            <w:shd w:fill="CCCCCC" w:val="clear"/>
          </w:tcPr>
          <w:p>
            <w:r>
              <w:t xml:space="preserve">2.1</w:t>
            </w:r>
          </w:p>
        </w:tc>
      </w:tr>
      <w:tr>
        <w:tc>
          <w:tcPr>
            <w:tcW w:type="dxa" w:w="2000"/>
            <w:shd w:fill="FFFFFF" w:val="clear"/>
          </w:tcPr>
          <w:p>
            <w:r>
              <w:t xml:space="preserve">Date Approved</w:t>
            </w:r>
          </w:p>
        </w:tc>
        <w:tc>
          <w:tcPr>
            <w:tcW w:type="dxa" w:w="4000"/>
            <w:shd w:fill="FFFFFF" w:val="clear"/>
          </w:tcPr>
          <w:p>
            <w:r>
              <w:t xml:space="preserve">10 September 2025</w:t>
            </w:r>
          </w:p>
        </w:tc>
      </w:tr>
      <w:tr>
        <w:tc>
          <w:tcPr>
            <w:tcW w:type="dxa" w:w="2000"/>
            <w:shd w:fill="CCCCCC" w:val="clear"/>
          </w:tcPr>
          <w:p>
            <w:r>
              <w:t xml:space="preserve">Next Review Date</w:t>
            </w:r>
          </w:p>
        </w:tc>
        <w:tc>
          <w:tcPr>
            <w:tcW w:type="dxa" w:w="4000"/>
            <w:shd w:fill="CCCCCC" w:val="clear"/>
          </w:tcPr>
          <w:p>
            <w:r>
              <w:t xml:space="preserve">10 September 2026</w:t>
            </w:r>
          </w:p>
        </w:tc>
      </w:tr>
      <w:tr>
        <w:tc>
          <w:tcPr>
            <w:tcW w:type="dxa" w:w="2000"/>
            <w:shd w:fill="FFFFFF" w:val="clear"/>
          </w:tcPr>
          <w:p>
            <w:r>
              <w:t xml:space="preserve">Owner</w:t>
            </w:r>
          </w:p>
        </w:tc>
        <w:tc>
          <w:tcPr>
            <w:tcW w:type="dxa" w:w="4000"/>
            <w:shd w:fill="FFFFFF" w:val="clear"/>
          </w:tcPr>
          <w:p>
            <w:r>
              <w:t xml:space="preserve">Marcus Lee (IT Security Analyst)</w:t>
            </w:r>
          </w:p>
        </w:tc>
      </w:tr>
      <w:tr>
        <w:tc>
          <w:tcPr>
            <w:tcW w:type="dxa" w:w="2000"/>
            <w:shd w:fill="CCCCCC" w:val="clear"/>
          </w:tcPr>
          <w:p>
            <w:r>
              <w:t xml:space="preserve">Approved By</w:t>
            </w:r>
          </w:p>
        </w:tc>
        <w:tc>
          <w:tcPr>
            <w:tcW w:type="dxa" w:w="4000"/>
            <w:shd w:fill="CCCCCC" w:val="clear"/>
          </w:tcPr>
          <w:p>
            <w:r>
              <w:t xml:space="preserve">David Chen (CIO/CISO)</w:t>
            </w:r>
          </w:p>
        </w:tc>
      </w:tr>
    </w:tbl>
    <w:p>
      <w:r>
        <w:t xml:space="preserve"/>
      </w:r>
    </w:p>
    <w:p>
      <w:pPr>
        <w:pStyle w:val="Normal"/>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2.1</w:t>
            </w:r>
          </w:p>
        </w:tc>
        <w:tc>
          <w:tcPr>
            <w:tcW w:type="dxa" w:w="1500"/>
          </w:tcPr>
          <w:p>
            <w:r>
              <w:t xml:space="preserve">10 Sep 2025</w:t>
            </w:r>
          </w:p>
        </w:tc>
        <w:tc>
          <w:tcPr>
            <w:tcW w:type="dxa" w:w="3500"/>
          </w:tcPr>
          <w:p>
            <w:r>
              <w:t xml:space="preserve">Added MFA requirements for all access levels</w:t>
            </w:r>
          </w:p>
        </w:tc>
      </w:tr>
      <w:tr>
        <w:tc>
          <w:tcPr>
            <w:tcW w:type="dxa" w:w="1000"/>
          </w:tcPr>
          <w:p>
            <w:r>
              <w:t xml:space="preserve">2.0</w:t>
            </w:r>
          </w:p>
        </w:tc>
        <w:tc>
          <w:tcPr>
            <w:tcW w:type="dxa" w:w="1500"/>
          </w:tcPr>
          <w:p>
            <w:r>
              <w:t xml:space="preserve">15 Mar 2025</w:t>
            </w:r>
          </w:p>
        </w:tc>
        <w:tc>
          <w:tcPr>
            <w:tcW w:type="dxa" w:w="3500"/>
          </w:tcPr>
          <w:p>
            <w:r>
              <w:t xml:space="preserve">Enhanced quarterly access review requirements</w:t>
            </w:r>
          </w:p>
        </w:tc>
      </w:tr>
      <w:tr>
        <w:tc>
          <w:tcPr>
            <w:tcW w:type="dxa" w:w="1000"/>
          </w:tcPr>
          <w:p>
            <w:r>
              <w:t xml:space="preserve">1.0</w:t>
            </w:r>
          </w:p>
        </w:tc>
        <w:tc>
          <w:tcPr>
            <w:tcW w:type="dxa" w:w="1500"/>
          </w:tcPr>
          <w:p>
            <w:r>
              <w:t xml:space="preserve">02 Aug 2023</w:t>
            </w:r>
          </w:p>
        </w:tc>
        <w:tc>
          <w:tcPr>
            <w:tcW w:type="dxa" w:w="3500"/>
          </w:tcPr>
          <w:p>
            <w:r>
              <w:t xml:space="preserve">Initial document creation</w:t>
            </w:r>
          </w:p>
        </w:tc>
      </w:tr>
    </w:tbl>
    <w:p>
      <w:r>
        <w:t xml:space="preserve"/>
      </w:r>
    </w:p>
    <w:p>
      <w:pPr>
        <w:pStyle w:val="Normal"/>
      </w:pPr>
      <w:r>
        <w:t xml:space="preserve">1. PURPOSE</w:t>
      </w:r>
    </w:p>
    <w:p>
      <w:r>
        <w:t xml:space="preserve">This procedure establishes the framework for managing user access to HorseInsure Pty Ltd information systems. It defines the processes for requesting, approving, provisioning, and removing access rights to ensure that only authorised personnel have appropriate access to systems, data, and resources.</w:t>
      </w:r>
    </w:p>
    <w:p>
      <w:pPr>
        <w:pStyle w:val="Normal"/>
      </w:pPr>
      <w:r>
        <w:t xml:space="preserve">2. SCOPE</w:t>
      </w:r>
    </w:p>
    <w:p>
      <w:r>
        <w:t xml:space="preserve">This procedure applies to all HorseInsure employees, contractors, and third-party users requiring access to company systems, including but not limited to:</w:t>
      </w:r>
    </w:p>
    <w:p>
      <w:r>
        <w:t xml:space="preserve">EquiClaim (claims management system)</w:t>
      </w:r>
    </w:p>
    <w:p>
      <w:r>
        <w:t xml:space="preserve">EquiPolicy (policy administration system)</w:t>
      </w:r>
    </w:p>
    <w:p>
      <w:r>
        <w:t xml:space="preserve">EquiQuote (underwriting system)</w:t>
      </w:r>
    </w:p>
    <w:p>
      <w:r>
        <w:t xml:space="preserve">Microsoft 365 and Azure AD</w:t>
      </w:r>
    </w:p>
    <w:p>
      <w:r>
        <w:t xml:space="preserve">Salesforce CRM</w:t>
      </w:r>
    </w:p>
    <w:p>
      <w:r>
        <w:t xml:space="preserve">SAP Finance system</w:t>
      </w:r>
    </w:p>
    <w:p>
      <w:pPr>
        <w:pStyle w:val="Normal"/>
      </w:pPr>
      <w:r>
        <w:t xml:space="preserve">3. ROLES AND RESPONSIBILITIES</w:t>
      </w:r>
    </w:p>
    <w:p>
      <w:r>
        <w:t xml:space="preserve">CIO/CISO (David Chen)</w:t>
      </w:r>
    </w:p>
    <w:p>
      <w:r>
        <w:t xml:space="preserve">Overall responsibility for user access control policy and escalation of access disputes.</w:t>
      </w:r>
    </w:p>
    <w:p>
      <w:r>
        <w:t xml:space="preserve">Business Unit Managers</w:t>
      </w:r>
    </w:p>
    <w:p>
      <w:r>
        <w:t xml:space="preserve">Responsibility for approving access requests from their team members and notification of staff changes.</w:t>
      </w:r>
    </w:p>
    <w:p>
      <w:r>
        <w:t xml:space="preserve">IT Security Analyst (Marcus Lee)</w:t>
      </w:r>
    </w:p>
    <w:p>
      <w:r>
        <w:t xml:space="preserve">Review of access requests against security requirements, administration of MFA, and execution of quarterly access reviews.</w:t>
      </w:r>
    </w:p>
    <w:p>
      <w:r>
        <w:t xml:space="preserve">Service Desk (Priya Nair - Lead)</w:t>
      </w:r>
    </w:p>
    <w:p>
      <w:r>
        <w:t xml:space="preserve">Processing of access requests, user provisioning, and deprovisioning activities.</w:t>
      </w:r>
    </w:p>
    <w:p>
      <w:pPr>
        <w:pStyle w:val="Normal"/>
      </w:pPr>
      <w:r>
        <w:t xml:space="preserve">4. NEW USER JOINER PROCESS</w:t>
      </w:r>
    </w:p>
    <w:p>
      <w:r>
        <w:t xml:space="preserve">Step 1: HR Notification</w:t>
      </w:r>
    </w:p>
    <w:p>
      <w:r>
        <w:t xml:space="preserve">Head of HR (James O'Brien) notifies IT of new employee commencement at least 5 business days prior. Documentation includes position title, reporting line, required systems access, and business justification.</w:t>
      </w:r>
    </w:p>
    <w:p>
      <w:r>
        <w:t xml:space="preserve">Step 2: Access Request Submission</w:t>
      </w:r>
    </w:p>
    <w:p>
      <w:r>
        <w:t xml:space="preserve">Business unit manager or HR submits formalised access request through the Service Desk ticketing system. Manager must specify which systems are required (e.g., EquiClaim for claims staff, EquiQuote for underwriting, Salesforce for sales).</w:t>
      </w:r>
    </w:p>
    <w:p>
      <w:r>
        <w:t xml:space="preserve">Step 3: Security Review</w:t>
      </w:r>
    </w:p>
    <w:p>
      <w:r>
        <w:t xml:space="preserve">IT Security Analyst reviews the request for appropriateness and alignment with role requirements. For privileged access (administrative accounts on EquiClaim, EquiPolicy, Azure AD), additional justification is required.</w:t>
      </w:r>
    </w:p>
    <w:p>
      <w:r>
        <w:t xml:space="preserve">Step 4: MFA Configuration</w:t>
      </w:r>
    </w:p>
    <w:p>
      <w:r>
        <w:t xml:space="preserve">Multi-Factor Authentication (MFA) is mandatory for all staff access to Microsoft 365, Azure AD, Salesforce, and all core business systems (EquiClaim, EquiPolicy, EquiQuote). Service Desk configures MFA before account activation, using Microsoft Authenticator or approved FIDO2 security keys.</w:t>
      </w:r>
    </w:p>
    <w:p>
      <w:r>
        <w:t xml:space="preserve">Step 5: Provisioning and Notification</w:t>
      </w:r>
    </w:p>
    <w:p>
      <w:r>
        <w:t xml:space="preserve">Service Desk provisions user accounts and provides temporary credentials and MFA setup instructions. New user acknowledges receipt of security requirements.</w:t>
      </w:r>
    </w:p>
    <w:p>
      <w:pPr>
        <w:pStyle w:val="Normal"/>
      </w:pPr>
      <w:r>
        <w:t xml:space="preserve">5. USER MOVER PROCESS</w:t>
      </w:r>
    </w:p>
    <w:p>
      <w:r>
        <w:t xml:space="preserve">When an existing employee changes roles or departments:</w:t>
      </w:r>
    </w:p>
    <w:p>
      <w:r>
        <w:t xml:space="preserve">New manager submits access request for additional systems required in new role</w:t>
      </w:r>
    </w:p>
    <w:p>
      <w:r>
        <w:t xml:space="preserve">Previous manager confirms which access rights should be revoked</w:t>
      </w:r>
    </w:p>
    <w:p>
      <w:r>
        <w:t xml:space="preserve">IT Security Analyst reviews and approves changes</w:t>
      </w:r>
    </w:p>
    <w:p>
      <w:r>
        <w:t xml:space="preserve">Service Desk implements changes within 1 business day</w:t>
      </w:r>
    </w:p>
    <w:p>
      <w:pPr>
        <w:pStyle w:val="Normal"/>
      </w:pPr>
      <w:r>
        <w:t xml:space="preserve">6. USER LEAVER PROCESS</w:t>
      </w:r>
    </w:p>
    <w:p>
      <w:r>
        <w:t xml:space="preserve">Upon employee departure:</w:t>
      </w:r>
    </w:p>
    <w:p>
      <w:r>
        <w:t xml:space="preserve">HR notifies Service Desk of resignation or termination at least 2 business days prior</w:t>
      </w:r>
    </w:p>
    <w:p>
      <w:r>
        <w:t xml:space="preserve">Manager and Security Analyst confirm data handover and device retrieval requirements</w:t>
      </w:r>
    </w:p>
    <w:p>
      <w:r>
        <w:t xml:space="preserve">Service Desk disables all access on final day of employment</w:t>
      </w:r>
    </w:p>
    <w:p>
      <w:r>
        <w:t xml:space="preserve">All devices are remotely wiped and recovered</w:t>
      </w:r>
    </w:p>
    <w:p>
      <w:r>
        <w:t xml:space="preserve">Email and data are preserved for compliance purposes (7-year retention)</w:t>
      </w:r>
    </w:p>
    <w:p>
      <w:pPr>
        <w:pStyle w:val="Normal"/>
      </w:pPr>
      <w:r>
        <w:t xml:space="preserve">7. QUARTERLY ACCESS REVIEW PROCESS</w:t>
      </w:r>
    </w:p>
    <w:p>
      <w:r>
        <w:t xml:space="preserve">IT Security Analyst conducts comprehensive access reviews every quarter (March, June, September, December). The review process includes:</w:t>
      </w:r>
    </w:p>
    <w:p>
      <w:r>
        <w:t xml:space="preserve">Generation of access reports for all systems showing current user lists and privilege levels</w:t>
      </w:r>
    </w:p>
    <w:p>
      <w:r>
        <w:t xml:space="preserve">Distribution of reports to respective business unit managers for verification</w:t>
      </w:r>
    </w:p>
    <w:p>
      <w:r>
        <w:t xml:space="preserve">Managers confirm whether each user still requires their current access</w:t>
      </w:r>
    </w:p>
    <w:p>
      <w:r>
        <w:t xml:space="preserve">Any unauthorised or obsolete access is flagged for immediate removal</w:t>
      </w:r>
    </w:p>
    <w:p>
      <w:r>
        <w:t xml:space="preserve">Review outcomes documented and filed with sign-off from managers and IT Security</w:t>
      </w:r>
    </w:p>
    <w:p>
      <w:pPr>
        <w:pStyle w:val="Normal"/>
      </w:pPr>
      <w:r>
        <w:t xml:space="preserve">8. PRIVILEGED ACCESS MANAGEMENT</w:t>
      </w:r>
    </w:p>
    <w:p>
      <w:r>
        <w:t xml:space="preserve">Privileged access includes administrative accounts for system management and high-risk data access. All privileged access requests require:</w:t>
      </w:r>
    </w:p>
    <w:p>
      <w:r>
        <w:t xml:space="preserve">Written justification from the requestor and their manager</w:t>
      </w:r>
    </w:p>
    <w:p>
      <w:r>
        <w:t xml:space="preserve">Approval from CIO/CISO (David Chen)</w:t>
      </w:r>
    </w:p>
    <w:p>
      <w:r>
        <w:t xml:space="preserve">Mandatory MFA (security key preferred over authenticator app)</w:t>
      </w:r>
    </w:p>
    <w:p>
      <w:r>
        <w:t xml:space="preserve">Privilege elevation limited to specific time periods for just-in-time access</w:t>
      </w:r>
    </w:p>
    <w:p>
      <w:r>
        <w:t xml:space="preserve">All privileged actions logged and monitored for suspicious activity</w:t>
      </w:r>
    </w:p>
    <w:p>
      <w:pPr>
        <w:jc w:val="center"/>
      </w:pPr>
      <w:r>
        <w:t xml:space="preserve">Page 1 of 4</w:t>
      </w:r>
    </w:p>
    <w:p/>
    <w:p>
      <w:pPr>
        <w:pStyle w:val="Normal"/>
      </w:pPr>
      <w:r>
        <w:t xml:space="preserve">9. ACCESS REQUEST WORKFLOW</w:t>
      </w:r>
    </w:p>
    <w:p>
      <w:r>
        <w:t xml:space="preserve">All access requests follow this workflow:</w:t>
      </w:r>
    </w:p>
    <w:p>
      <w:r>
        <w:t xml:space="preserve">Employee or manager submits request via Service Desk ticketing system with business justification</w:t>
      </w:r>
    </w:p>
    <w:p>
      <w:r>
        <w:t xml:space="preserve">Request automatically routed to IT Security Analyst for review</w:t>
      </w:r>
    </w:p>
    <w:p>
      <w:r>
        <w:t xml:space="preserve">Security Analyst validates request against job requirements and security policy</w:t>
      </w:r>
    </w:p>
    <w:p>
      <w:r>
        <w:t xml:space="preserve">Request escalated to CIO/CISO if it involves privileged access or unusual requirements</w:t>
      </w:r>
    </w:p>
    <w:p>
      <w:r>
        <w:t xml:space="preserve">Once approved, Service Desk processes provisioning within 1 business day</w:t>
      </w:r>
    </w:p>
    <w:p>
      <w:r>
        <w:t xml:space="preserve">Requestor notified of completion and provided with guidance on MFA setup</w:t>
      </w:r>
    </w:p>
    <w:p>
      <w:pPr>
        <w:pStyle w:val="Normal"/>
      </w:pPr>
      <w:r>
        <w:t xml:space="preserve">10. MULTI-FACTOR AUTHENTICATION (MFA) REQUIREMENTS</w:t>
      </w:r>
    </w:p>
    <w:p>
      <w:r>
        <w:t xml:space="preserve">Mandatory MFA applies to:</w:t>
      </w:r>
    </w:p>
    <w:p>
      <w:r>
        <w:t xml:space="preserve">All Microsoft 365 and Azure AD accounts</w:t>
      </w:r>
    </w:p>
    <w:p>
      <w:r>
        <w:t xml:space="preserve">Salesforce CRM access</w:t>
      </w:r>
    </w:p>
    <w:p>
      <w:r>
        <w:t xml:space="preserve">All core business systems (EquiClaim, EquiPolicy, EquiQuote)</w:t>
      </w:r>
    </w:p>
    <w:p>
      <w:r>
        <w:t xml:space="preserve">SAP Finance for finance team members</w:t>
      </w:r>
    </w:p>
    <w:p>
      <w:r>
        <w:t xml:space="preserve">VPN access for remote workers</w:t>
      </w:r>
    </w:p>
    <w:p>
      <w:r>
        <w:t xml:space="preserve">Preferred MFA methods in order of security:</w:t>
      </w:r>
    </w:p>
    <w:p>
      <w:r>
        <w:t xml:space="preserve">FIDO2 security keys (most secure, no phishing risk)</w:t>
      </w:r>
    </w:p>
    <w:p>
      <w:r>
        <w:t xml:space="preserve">Microsoft Authenticator with biometric/PIN</w:t>
      </w:r>
    </w:p>
    <w:p>
      <w:r>
        <w:t xml:space="preserve">Time-based one-time password (TOTP) apps</w:t>
      </w:r>
    </w:p>
    <w:p>
      <w:r>
        <w:t xml:space="preserve">SMS-based verification (acceptable but less preferred)</w:t>
      </w:r>
    </w:p>
    <w:p>
      <w:pPr>
        <w:pStyle w:val="Normal"/>
      </w:pPr>
      <w:r>
        <w:t xml:space="preserve">11. COMPLIANCE AND AUDITING</w:t>
      </w:r>
    </w:p>
    <w:p>
      <w:r>
        <w:t xml:space="preserve">All user access activities are logged and audited. The following records are maintained:</w:t>
      </w:r>
    </w:p>
    <w:p>
      <w:r>
        <w:t xml:space="preserve">Access request history (submission, approval, provisioning dates)</w:t>
      </w:r>
    </w:p>
    <w:p>
      <w:r>
        <w:t xml:space="preserve">Quarterly access review documentation and sign-offs</w:t>
      </w:r>
    </w:p>
    <w:p>
      <w:r>
        <w:t xml:space="preserve">Deprovisioning records for departed employees</w:t>
      </w:r>
    </w:p>
    <w:p>
      <w:r>
        <w:t xml:space="preserve">Privileged access logs and elevation requests</w:t>
      </w:r>
    </w:p>
    <w:p>
      <w:r>
        <w:t xml:space="preserve">MFA setup and reset events</w:t>
      </w:r>
    </w:p>
    <w:p>
      <w:r>
        <w:t xml:space="preserve">These records are reviewed during internal audits and are maintained for a minimum of 7 years to support compliance requirements.</w:t>
      </w:r>
    </w:p>
    <w:p>
      <w:pPr>
        <w:jc w:val="center"/>
      </w:pPr>
      <w:r>
        <w:t xml:space="preserve">Page 2 of 4</w:t>
      </w:r>
    </w:p>
    <w:p/>
    <w:p>
      <w:pPr>
        <w:pStyle w:val="Normal"/>
      </w:pPr>
      <w:r>
        <w:t xml:space="preserve">12. SYSTEM ACCESS MATRIX</w:t>
      </w:r>
    </w:p>
    <w:p>
      <w:r>
        <w:t xml:space="preserve">The following table outlines which roles have access to each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CCCCCC" w:val="clear"/>
          </w:tcPr>
          <w:p>
            <w:r>
              <w:t xml:space="preserve">Role</w:t>
            </w:r>
          </w:p>
        </w:tc>
        <w:tc>
          <w:tcPr>
            <w:tcW w:type="dxa" w:w="1500"/>
            <w:shd w:fill="CCCCCC" w:val="clear"/>
          </w:tcPr>
          <w:p>
            <w:r>
              <w:t xml:space="preserve">EquiClaim</w:t>
            </w:r>
          </w:p>
        </w:tc>
        <w:tc>
          <w:tcPr>
            <w:tcW w:type="dxa" w:w="1500"/>
            <w:shd w:fill="CCCCCC" w:val="clear"/>
          </w:tcPr>
          <w:p>
            <w:r>
              <w:t xml:space="preserve">EquiPolicy</w:t>
            </w:r>
          </w:p>
        </w:tc>
        <w:tc>
          <w:tcPr>
            <w:tcW w:type="dxa" w:w="1500"/>
            <w:shd w:fill="CCCCCC" w:val="clear"/>
          </w:tcPr>
          <w:p>
            <w:r>
              <w:t xml:space="preserve">Salesforce</w:t>
            </w:r>
          </w:p>
        </w:tc>
      </w:tr>
      <w:tr>
        <w:tc>
          <w:tcPr>
            <w:tcW w:type="dxa" w:w="2000"/>
          </w:tcPr>
          <w:p>
            <w:r>
              <w:t xml:space="preserve">Claims Officer</w:t>
            </w:r>
          </w:p>
        </w:tc>
        <w:tc>
          <w:tcPr>
            <w:tcW w:type="dxa" w:w="1500"/>
          </w:tcPr>
          <w:p>
            <w:r>
              <w:t xml:space="preserve">Yes</w:t>
            </w:r>
          </w:p>
        </w:tc>
        <w:tc>
          <w:tcPr>
            <w:tcW w:type="dxa" w:w="1500"/>
          </w:tcPr>
          <w:p>
            <w:r>
              <w:t xml:space="preserve">Read-only</w:t>
            </w:r>
          </w:p>
        </w:tc>
        <w:tc>
          <w:tcPr>
            <w:tcW w:type="dxa" w:w="1500"/>
          </w:tcPr>
          <w:p>
            <w:r>
              <w:t xml:space="preserve">No</w:t>
            </w:r>
          </w:p>
        </w:tc>
      </w:tr>
      <w:tr>
        <w:tc>
          <w:tcPr>
            <w:tcW w:type="dxa" w:w="2000"/>
          </w:tcPr>
          <w:p>
            <w:r>
              <w:t xml:space="preserve">Underwriter</w:t>
            </w:r>
          </w:p>
        </w:tc>
        <w:tc>
          <w:tcPr>
            <w:tcW w:type="dxa" w:w="1500"/>
          </w:tcPr>
          <w:p>
            <w:r>
              <w:t xml:space="preserve">Read-only</w:t>
            </w:r>
          </w:p>
        </w:tc>
        <w:tc>
          <w:tcPr>
            <w:tcW w:type="dxa" w:w="1500"/>
          </w:tcPr>
          <w:p>
            <w:r>
              <w:t xml:space="preserve">Yes</w:t>
            </w:r>
          </w:p>
        </w:tc>
        <w:tc>
          <w:tcPr>
            <w:tcW w:type="dxa" w:w="1500"/>
          </w:tcPr>
          <w:p>
            <w:r>
              <w:t xml:space="preserve">Yes</w:t>
            </w:r>
          </w:p>
        </w:tc>
      </w:tr>
      <w:tr>
        <w:tc>
          <w:tcPr>
            <w:tcW w:type="dxa" w:w="2000"/>
          </w:tcPr>
          <w:p>
            <w:r>
              <w:t xml:space="preserve">Finance Team</w:t>
            </w:r>
          </w:p>
        </w:tc>
        <w:tc>
          <w:tcPr>
            <w:tcW w:type="dxa" w:w="1500"/>
          </w:tcPr>
          <w:p>
            <w:r>
              <w:t xml:space="preserve">Read-only</w:t>
            </w:r>
          </w:p>
        </w:tc>
        <w:tc>
          <w:tcPr>
            <w:tcW w:type="dxa" w:w="1500"/>
          </w:tcPr>
          <w:p>
            <w:r>
              <w:t xml:space="preserve">Read-only</w:t>
            </w:r>
          </w:p>
        </w:tc>
        <w:tc>
          <w:tcPr>
            <w:tcW w:type="dxa" w:w="1500"/>
          </w:tcPr>
          <w:p>
            <w:r>
              <w:t xml:space="preserve">Read-only</w:t>
            </w:r>
          </w:p>
        </w:tc>
      </w:tr>
    </w:tbl>
    <w:p>
      <w:r>
        <w:t xml:space="preserve"/>
      </w:r>
    </w:p>
    <w:p>
      <w:pPr>
        <w:pStyle w:val="Normal"/>
      </w:pPr>
      <w:r>
        <w:t xml:space="preserve">13. ACCESS EXCEPTIONS AND APPEALS</w:t>
      </w:r>
    </w:p>
    <w:p>
      <w:r>
        <w:t xml:space="preserve">If an access request is denied or if an employee believes they have been inappropriately denied access, they may lodge an appeal to the CIO/CISO within 5 business days. The appeal must include:</w:t>
      </w:r>
    </w:p>
    <w:p>
      <w:r>
        <w:t xml:space="preserve">Original access request reference number</w:t>
      </w:r>
    </w:p>
    <w:p>
      <w:r>
        <w:t xml:space="preserve">Detailed explanation of business need</w:t>
      </w:r>
    </w:p>
    <w:p>
      <w:r>
        <w:t xml:space="preserve">Manager's support and justification</w:t>
      </w:r>
    </w:p>
    <w:p>
      <w:r>
        <w:t xml:space="preserve">CIO/CISO will review the appeal within 5 business days and communicate the outcome.</w:t>
      </w:r>
    </w:p>
    <w:p>
      <w:pPr>
        <w:pStyle w:val="Normal"/>
      </w:pPr>
      <w:r>
        <w:t xml:space="preserve">14. RELATED DOCUMENTS AND REFERENCES</w:t>
      </w:r>
    </w:p>
    <w:p>
      <w:r>
        <w:t xml:space="preserve">HorseInsure Information Security Policy</w:t>
      </w:r>
    </w:p>
    <w:p>
      <w:r>
        <w:t xml:space="preserve">Acceptable Use Policy</w:t>
      </w:r>
    </w:p>
    <w:p>
      <w:r>
        <w:t xml:space="preserve">Password Management Standard</w:t>
      </w:r>
    </w:p>
    <w:p>
      <w:r>
        <w:t xml:space="preserve">Incident Response Procedure (PRO-002)</w:t>
      </w:r>
    </w:p>
    <w:p>
      <w:r>
        <w:t xml:space="preserve">PRO-006 Document Control Procedure</w:t>
      </w:r>
    </w:p>
    <w:p>
      <w:pPr>
        <w:jc w:val="center"/>
      </w:pPr>
      <w:r>
        <w:t xml:space="preserve">Page 3 of 4</w:t>
      </w:r>
    </w:p>
    <w:p/>
    <w:p>
      <w:pPr>
        <w:pStyle w:val="Normal"/>
      </w:pPr>
      <w:r>
        <w:t xml:space="preserve">15. DEFINITIONS</w:t>
      </w:r>
    </w:p>
    <w:p>
      <w:r>
        <w:t xml:space="preserve">Access Control:</w:t>
      </w:r>
    </w:p>
    <w:p>
      <w:r>
        <w:t xml:space="preserve">Mechanism to enforce who may access which resources and in what manner.</w:t>
      </w:r>
    </w:p>
    <w:p>
      <w:r>
        <w:t xml:space="preserve">Privileged Access:</w:t>
      </w:r>
    </w:p>
    <w:p>
      <w:r>
        <w:t xml:space="preserve">Administrative access to systems that allows system configuration, user management, or access to sensitive data without normal approval processes.</w:t>
      </w:r>
    </w:p>
    <w:p>
      <w:r>
        <w:t xml:space="preserve">Multi-Factor Authentication (MFA):</w:t>
      </w:r>
    </w:p>
    <w:p>
      <w:r>
        <w:t xml:space="preserve">Authentication mechanism requiring two or more independent verification methods.</w:t>
      </w:r>
    </w:p>
    <w:p>
      <w:r>
        <w:t xml:space="preserve">Just-in-Time Access:</w:t>
      </w:r>
    </w:p>
    <w:p>
      <w:r>
        <w:t xml:space="preserve">Temporary elevation of privilege for a specific, limited time period to perform a specific task.</w:t>
      </w:r>
    </w:p>
    <w:p>
      <w:r>
        <w:t xml:space="preserve">Deprovisioning:</w:t>
      </w:r>
    </w:p>
    <w:p>
      <w:r>
        <w:t xml:space="preserve">Process of removing a user's access rights to systems and data upon departure or role change.</w:t>
      </w:r>
    </w:p>
    <w:p>
      <w:pPr>
        <w:pStyle w:val="Normal"/>
      </w:pPr>
      <w:r>
        <w:t xml:space="preserve">DOCUMENT APPROVAL</w:t>
      </w:r>
    </w:p>
    <w:p>
      <w:r>
        <w:t xml:space="preserve"/>
      </w:r>
    </w:p>
    <w:p>
      <w:r>
        <w:t xml:space="preserve">Marcus Lee</w:t>
      </w:r>
    </w:p>
    <w:p>
      <w:r>
        <w:t xml:space="preserve">IT Security Analyst</w:t>
      </w:r>
    </w:p>
    <w:p>
      <w:r>
        <w:t xml:space="preserve">Document Owner</w:t>
      </w:r>
    </w:p>
    <w:p>
      <w:r>
        <w:t xml:space="preserve"/>
      </w:r>
    </w:p>
    <w:p>
      <w:r>
        <w:t xml:space="preserve">David Chen</w:t>
      </w:r>
    </w:p>
    <w:p>
      <w:r>
        <w:t xml:space="preserve">CIO/CISO</w:t>
      </w:r>
    </w:p>
    <w:p>
      <w:r>
        <w:t xml:space="preserve">Approved 10 September 2025</w:t>
      </w:r>
    </w:p>
    <w:p>
      <w:r>
        <w:t xml:space="preserve"/>
      </w:r>
    </w:p>
    <w:p>
      <w:pPr>
        <w:jc w:val="center"/>
      </w:pPr>
      <w:r>
        <w:t xml:space="preserve">Page 4 of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2026-02-15T07:29:02.258Z</dcterms:created>
  <dcterms:modified xsi:type="dcterms:W3CDTF">2026-02-15T07:29:02.259Z</dcterms:modified>
</cp:coreProperties>
</file>

<file path=docProps/custom.xml><?xml version="1.0" encoding="utf-8"?>
<Properties xmlns="http://schemas.openxmlformats.org/officeDocument/2006/custom-properties" xmlns:vt="http://schemas.openxmlformats.org/officeDocument/2006/docPropsVTypes"/>
</file>