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</w:pPr>
    </w:p>
    <w:p>
      <w:pPr>
        <w:spacing w:after="200"/>
        <w:jc w:val="center"/>
      </w:pPr>
      <w:r>
        <w:t xml:space="preserve">DATA CLASSIFICATION AND HANDLING POLICY</w:t>
      </w:r>
    </w:p>
    <w:p>
      <w:pPr>
        <w:spacing w:after="400"/>
        <w:jc w:val="center"/>
      </w:pPr>
      <w:r>
        <w:t xml:space="preserve">POL-004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</w:tblGrid>
      <w:tr>
        <w:tc>
          <w:tcPr>
            <w:tcW w:type="pct" w:w="30%"/>
            <w:shd w:fill="E8E8E8" w:val="clear"/>
          </w:tcPr>
          <w:p>
            <w:r>
              <w:t xml:space="preserve">Document ID</w:t>
            </w:r>
          </w:p>
        </w:tc>
        <w:tc>
          <w:tcPr>
            <w:tcW w:type="pct" w:w="70%"/>
          </w:tcPr>
          <w:p>
            <w:r>
              <w:t xml:space="preserve">POL-004</w:t>
            </w:r>
          </w:p>
        </w:tc>
      </w:tr>
      <w:tr>
        <w:tc>
          <w:tcPr>
            <w:tcW w:type="pct" w:w="30%"/>
            <w:shd w:fill="E8E8E8" w:val="clear"/>
          </w:tcPr>
          <w:p>
            <w:r>
              <w:t xml:space="preserve">Version</w:t>
            </w:r>
          </w:p>
        </w:tc>
        <w:tc>
          <w:tcPr>
            <w:tcW w:type="pct" w:w="70%"/>
          </w:tcPr>
          <w:p>
            <w:r>
              <w:t xml:space="preserve">1.3</w:t>
            </w:r>
          </w:p>
        </w:tc>
      </w:tr>
      <w:tr>
        <w:tc>
          <w:tcPr>
            <w:tcW w:type="pct" w:w="30%"/>
            <w:shd w:fill="E8E8E8" w:val="clear"/>
          </w:tcPr>
          <w:p>
            <w:r>
              <w:t xml:space="preserve">Owner</w:t>
            </w:r>
          </w:p>
        </w:tc>
        <w:tc>
          <w:tcPr>
            <w:tcW w:type="pct" w:w="70%"/>
          </w:tcPr>
          <w:p>
            <w:r>
              <w:t xml:space="preserve">Angela Torres, Compliance Manager</w:t>
            </w:r>
          </w:p>
        </w:tc>
      </w:tr>
      <w:tr>
        <w:tc>
          <w:tcPr>
            <w:tcW w:type="pct" w:w="30%"/>
            <w:shd w:fill="E8E8E8" w:val="clear"/>
          </w:tcPr>
          <w:p>
            <w:r>
              <w:t xml:space="preserve">Approved By</w:t>
            </w:r>
          </w:p>
        </w:tc>
        <w:tc>
          <w:tcPr>
            <w:tcW w:type="pct" w:w="70%"/>
          </w:tcPr>
          <w:p>
            <w:r>
              <w:t xml:space="preserve">David Chen, Chief Information Security Officer</w:t>
            </w:r>
          </w:p>
        </w:tc>
      </w:tr>
      <w:tr>
        <w:tc>
          <w:tcPr>
            <w:tcW w:type="pct" w:w="30%"/>
            <w:shd w:fill="E8E8E8" w:val="clear"/>
          </w:tcPr>
          <w:p>
            <w:r>
              <w:t xml:space="preserve">Approval Date</w:t>
            </w:r>
          </w:p>
        </w:tc>
        <w:tc>
          <w:tcPr>
            <w:tcW w:type="pct" w:w="70%"/>
          </w:tcPr>
          <w:p>
            <w:r>
              <w:t xml:space="preserve">20 November 2024</w:t>
            </w:r>
          </w:p>
        </w:tc>
      </w:tr>
      <w:tr>
        <w:tc>
          <w:tcPr>
            <w:tcW w:type="pct" w:w="30%"/>
            <w:shd w:fill="E8E8E8" w:val="clear"/>
          </w:tcPr>
          <w:p>
            <w:r>
              <w:t xml:space="preserve">Next Review Date</w:t>
            </w:r>
          </w:p>
        </w:tc>
        <w:tc>
          <w:tcPr>
            <w:tcW w:type="pct" w:w="70%"/>
          </w:tcPr>
          <w:p>
            <w:r>
              <w:t xml:space="preserve">20 November 2025</w:t>
            </w:r>
          </w:p>
        </w:tc>
      </w:tr>
    </w:tbl>
    <w:p>
      <w:pPr>
        <w:spacing w:line="240" w:after="400"/>
      </w:pPr>
    </w:p>
    <w:p>
      <w:pPr>
        <w:spacing w:after="200"/>
      </w:pPr>
      <w:r>
        <w:t xml:space="preserve">TABLE OF CONTENTS</w:t>
      </w:r>
    </w:p>
    <w:p>
      <w:pPr>
        <w:spacing w:after="100"/>
      </w:pPr>
      <w:r>
        <w:t xml:space="preserve">1. Purpose</w:t>
      </w:r>
    </w:p>
    <w:p>
      <w:pPr>
        <w:spacing w:after="100"/>
      </w:pPr>
      <w:r>
        <w:t xml:space="preserve">2. Scope</w:t>
      </w:r>
    </w:p>
    <w:p>
      <w:pPr>
        <w:spacing w:after="100"/>
      </w:pPr>
      <w:r>
        <w:t xml:space="preserve">3. Data Classification Levels</w:t>
      </w:r>
    </w:p>
    <w:p>
      <w:pPr>
        <w:spacing w:after="100"/>
      </w:pPr>
      <w:r>
        <w:t xml:space="preserve">4. Data Handling Requirements</w:t>
      </w:r>
    </w:p>
    <w:p>
      <w:pPr>
        <w:spacing w:after="100"/>
      </w:pPr>
      <w:r>
        <w:t xml:space="preserve">5. Storage and Transmission</w:t>
      </w:r>
    </w:p>
    <w:p>
      <w:pPr>
        <w:spacing w:after="100"/>
      </w:pPr>
      <w:r>
        <w:t xml:space="preserve">6. Data Disposal</w:t>
      </w:r>
    </w:p>
    <w:p>
      <w:pPr>
        <w:spacing w:after="400"/>
      </w:pPr>
      <w:r>
        <w:t xml:space="preserve">7. Responsibilities</w:t>
      </w:r>
    </w:p>
    <w:p>
      <w:r/>
    </w:p>
    <w:p>
      <w:pPr>
        <w:pStyle w:val="Heading1"/>
        <w:spacing w:after="200"/>
      </w:pPr>
      <w:r>
        <w:t xml:space="preserve">1. PURPOSE</w:t>
      </w:r>
    </w:p>
    <w:p>
      <w:pPr>
        <w:spacing w:line="240" w:after="200"/>
      </w:pPr>
      <w:r>
        <w:t xml:space="preserve">Data classification is the foundation for implementing appropriate security controls and managing information assets. This policy establishes a framework for classifying HorseInsure data based on sensitivity and implementing corresponding protection measures.</w:t>
      </w:r>
    </w:p>
    <w:p>
      <w:pPr>
        <w:pStyle w:val="Heading1"/>
        <w:spacing w:after="200"/>
      </w:pPr>
      <w:r>
        <w:t xml:space="preserve">2. SCOPE</w:t>
      </w:r>
    </w:p>
    <w:p>
      <w:pPr>
        <w:spacing w:line="240" w:after="150"/>
      </w:pPr>
      <w:r>
        <w:t xml:space="preserve">This policy applies to all information assets at HorseInsure regardless of format (paper, digital, email) or storage location: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Policy holder information and personal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Equine health records and medical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Claims data and assessment reports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Financial and underwriting information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Business operations and strategic documents</w:t>
      </w:r>
    </w:p>
    <w:p>
      <w:pPr>
        <w:pStyle w:val="Heading1"/>
        <w:spacing w:after="200"/>
      </w:pPr>
      <w:r>
        <w:t xml:space="preserve">3. DATA CLASSIFICATION LEVELS</w:t>
      </w:r>
    </w:p>
    <w:p>
      <w:pPr>
        <w:spacing w:line="240" w:after="200"/>
      </w:pPr>
      <w:r>
        <w:t xml:space="preserve">HorseInsure uses four classification levels: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</w:tblGrid>
      <w:tr>
        <w:tc>
          <w:tcPr>
            <w:tcW w:type="pct" w:w="20%"/>
            <w:shd w:fill="C0E0DE" w:val="clear"/>
          </w:tcPr>
          <w:p>
            <w:r>
              <w:t xml:space="preserve">PUBLIC</w:t>
            </w:r>
          </w:p>
        </w:tc>
        <w:tc>
          <w:tcPr>
            <w:tcW w:type="pct" w:w="80%"/>
          </w:tcPr>
          <w:p>
            <w:r>
              <w:t xml:space="preserve">Information that can be disclosed to the public without risk. Examples: marketing materials, published annual reports, public-facing website content. No confidentiality requirement.</w:t>
            </w:r>
          </w:p>
        </w:tc>
      </w:tr>
      <w:tr>
        <w:tc>
          <w:tcPr>
            <w:tcW w:type="pct" w:w="20%"/>
            <w:shd w:fill="FFF2CC" w:val="clear"/>
          </w:tcPr>
          <w:p>
            <w:r>
              <w:t xml:space="preserve">INTERNAL</w:t>
            </w:r>
          </w:p>
        </w:tc>
        <w:tc>
          <w:tcPr>
            <w:tcW w:type="pct" w:w="80%"/>
          </w:tcPr>
          <w:p>
            <w:r>
              <w:t xml:space="preserve">Information for internal HorseInsure use only. Examples: internal policies, employee directories, operational procedures. Not classified higher but not intended for public disclosure.</w:t>
            </w:r>
          </w:p>
        </w:tc>
      </w:tr>
      <w:tr>
        <w:tc>
          <w:tcPr>
            <w:tcW w:type="pct" w:w="20%"/>
            <w:shd w:fill="F8CBAD" w:val="clear"/>
          </w:tcPr>
          <w:p>
            <w:r>
              <w:t xml:space="preserve">CONFIDENTIAL</w:t>
            </w:r>
          </w:p>
        </w:tc>
        <w:tc>
          <w:tcPr>
            <w:tcW w:type="pct" w:w="80%"/>
          </w:tcPr>
          <w:p>
            <w:r>
              <w:t xml:space="preserve">Sensitive business data requiring protection. Examples: policy holder personal information, horse health records, claims assessments, underwriting models, financial performance data. Unauthorised access would cause harm to business operations or individuals.</w:t>
            </w:r>
          </w:p>
        </w:tc>
      </w:tr>
      <w:tr>
        <w:tc>
          <w:tcPr>
            <w:tcW w:type="pct" w:w="20%"/>
            <w:shd w:fill="F4CCCC" w:val="clear"/>
          </w:tcPr>
          <w:p>
            <w:r>
              <w:t xml:space="preserve">RESTRICTED</w:t>
            </w:r>
          </w:p>
        </w:tc>
        <w:tc>
          <w:tcPr>
            <w:tcW w:type="pct" w:w="80%"/>
          </w:tcPr>
          <w:p>
            <w:r>
              <w:t xml:space="preserve">Highly sensitive data with strict access controls. Examples: encryption keys, database credentials, CEO strategic plans, legal advice, board minutes. Access limited to essential personnel. Breach would cause severe harm.</w:t>
            </w:r>
          </w:p>
        </w:tc>
      </w:tr>
    </w:tbl>
    <w:p>
      <w:pPr>
        <w:spacing w:line="240" w:after="200"/>
      </w:pPr>
    </w:p>
    <w:p>
      <w:pPr>
        <w:pStyle w:val="Heading1"/>
        <w:spacing w:after="200"/>
      </w:pPr>
      <w:r>
        <w:t xml:space="preserve">4. DATA HANDLING REQUIREMENTS</w:t>
      </w:r>
    </w:p>
    <w:p>
      <w:pPr>
        <w:spacing w:after="100"/>
      </w:pPr>
      <w:r>
        <w:t xml:space="preserve">PUBLIC Data: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Minimal controls required. Can be shared freely within and outside organisation.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Standard antivirus protection sufficient.</w:t>
      </w:r>
    </w:p>
    <w:p>
      <w:pPr>
        <w:spacing w:after="100"/>
      </w:pPr>
      <w:r>
        <w:t xml:space="preserve">INTERNAL Data: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Restrict sharing to HorseInsure employees and authorised contractors.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Access controls enforced through file permissions and role-based access.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Do not send via unsecured email; use encrypted channels or secure file sharing.</w:t>
      </w:r>
    </w:p>
    <w:p>
      <w:pPr>
        <w:spacing w:after="100"/>
      </w:pPr>
      <w:r>
        <w:t xml:space="preserve">CONFIDENTIAL Data: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Access restricted to employees with business need. Contractor access requires executive approval.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Horse health records and policy holder data must be encrypted in transit and at rest.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Files must be labelled CONFIDENTIAL in document headers and footers.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Cannot be transmitted via unencrypted email. Use secure file transfer with audit logging.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Access logged and reviewed quarterly.</w:t>
      </w:r>
    </w:p>
    <w:p>
      <w:pPr>
        <w:spacing w:after="100"/>
      </w:pPr>
      <w:r>
        <w:t xml:space="preserve">RESTRICTED Data: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Access limited to specific named individuals with CEO or CISO approval.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Must be encrypted using AES-256 or equivalent.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Cannot leave company premises without encryption.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All access logged with full audit trail. Access attempts reviewed monthly.</w:t>
      </w:r>
    </w:p>
    <w:p>
      <w:pPr>
        <w:pStyle w:val="Heading1"/>
        <w:spacing w:after="200"/>
      </w:pPr>
      <w:r>
        <w:t xml:space="preserve">5. STORAGE AND TRANSMISSION</w:t>
      </w:r>
    </w:p>
    <w:p>
      <w:pPr>
        <w:spacing w:after="150"/>
      </w:pPr>
      <w:r>
        <w:t xml:space="preserve">Storage: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INTERNAL and higher: Store only on company servers or cloud storage with encryption enabled.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 not store on personal devices, USB drives or unencrypted external drives.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Local file copies should be deleted after work completion.</w:t>
      </w:r>
    </w:p>
    <w:p>
      <w:pPr>
        <w:spacing w:after="150"/>
      </w:pPr>
      <w:r>
        <w:t xml:space="preserve">Email: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CONFIDENTIAL and RESTRICTED data should not be sent via unencrypted email.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secure file sharing links with password protection and expiry dates.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Email encryption tools (S/MIME) may be used for highly sensitive content.</w:t>
      </w:r>
    </w:p>
    <w:p>
      <w:pPr>
        <w:spacing w:after="150"/>
      </w:pPr>
      <w:r>
        <w:t xml:space="preserve">Network Transmission: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data in transit must use TLS 1.2 minimum encryption.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VPN required for remote access to CONFIDENTIAL or RESTRICTED data.</w:t>
      </w:r>
    </w:p>
    <w:p>
      <w:pPr>
        <w:pStyle w:val="Heading1"/>
        <w:spacing w:after="200"/>
      </w:pPr>
      <w:r>
        <w:t xml:space="preserve">6. DATA DISPOSAL</w:t>
      </w:r>
    </w:p>
    <w:p>
      <w:pPr>
        <w:spacing w:after="150"/>
      </w:pPr>
      <w:r>
        <w:t xml:space="preserve">Data Retention: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CONFIDENTIAL: Policy holder records retained 7 years post-claim closure per insurance regulations.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Horse health records retained 10 years minimum for veterinary and liability purposes.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Financial records retained 7 years per Australian tax requirements.</w:t>
      </w:r>
    </w:p>
    <w:p>
      <w:pPr>
        <w:spacing w:after="150"/>
      </w:pPr>
      <w:r>
        <w:t xml:space="preserve">Secure Destruction: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Paper documents: Shredded through authorised waste management services.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Digital data: Overwritten using certified data wiping tools (minimum 3-pass overwrite) or physical destruction.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Decommissioned hardware: All storage wiped before disposal or donated.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Destruction certificate maintained for audit purposes.</w:t>
      </w:r>
    </w:p>
    <w:p>
      <w:pPr>
        <w:pStyle w:val="Heading1"/>
        <w:spacing w:after="200"/>
      </w:pPr>
      <w:r>
        <w:t xml:space="preserve">7. RESPONSIBILITIES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Compliance Manager (Angela Torres): Maintain classification standards, conduct data classification training, oversee remediation of misclassified data.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Department Managers: Classify data within their departments, ensure staff compliance, approve exceptions.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IT Department: Implement technical controls, manage encryption, manage secure file sharing systems.</w:t>
      </w:r>
    </w:p>
    <w:p>
      <w:pPr>
        <w:pStyle w:val="ListParagraph"/>
        <w:numPr>
          <w:ilvl w:val="0"/>
          <w:numId w:val="1"/>
        </w:numPr>
        <w:spacing w:line="240" w:after="100"/>
      </w:pPr>
      <w:r>
        <w:t xml:space="preserve">All Staff: Classify data correctly, handle according to classification level, report mishandling incidents.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pct" w:w="50%"/>
        </w:tcPr>
        <w:p>
          <w:r>
            <w:t xml:space="preserve">HorseInsure Pty Ltd</w:t>
          </w:r>
        </w:p>
      </w:tc>
      <w:tc>
        <w:tcPr>
          <w:tcW w:type="pct" w:w="50%"/>
        </w:tcPr>
        <w:p>
          <w:r>
            <w:t xml:space="preserve">ABN 41 209 837 156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2026-02-15T07:23:51.199Z</dcterms:created>
  <dcterms:modified xsi:type="dcterms:W3CDTF">2026-02-15T07:23:51.200Z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