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spacing w:after="200"/>
        <w:jc w:val="center"/>
      </w:pPr>
      <w:r>
        <w:t xml:space="preserve">RISK MANAGEMENT POLICY</w:t>
      </w:r>
    </w:p>
    <w:p>
      <w:pPr>
        <w:spacing w:after="400"/>
        <w:jc w:val="center"/>
      </w:pPr>
      <w:r>
        <w:t xml:space="preserve">POL-005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</w:tblGrid>
      <w:tr>
        <w:tc>
          <w:tcPr>
            <w:tcW w:type="pct" w:w="30%"/>
            <w:shd w:fill="E8E8E8" w:val="clear"/>
          </w:tcPr>
          <w:p>
            <w:r>
              <w:t xml:space="preserve">Document ID</w:t>
            </w:r>
          </w:p>
        </w:tc>
        <w:tc>
          <w:tcPr>
            <w:tcW w:type="pct" w:w="70%"/>
          </w:tcPr>
          <w:p>
            <w:r>
              <w:t xml:space="preserve">POL-005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Version</w:t>
            </w:r>
          </w:p>
        </w:tc>
        <w:tc>
          <w:tcPr>
            <w:tcW w:type="pct" w:w="70%"/>
          </w:tcPr>
          <w:p>
            <w:r>
              <w:t xml:space="preserve">2.2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Owner</w:t>
            </w:r>
          </w:p>
        </w:tc>
        <w:tc>
          <w:tcPr>
            <w:tcW w:type="pct" w:w="70%"/>
          </w:tcPr>
          <w:p>
            <w:r>
              <w:t xml:space="preserve">Angela Torres, Compliance Manager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Approved By</w:t>
            </w:r>
          </w:p>
        </w:tc>
        <w:tc>
          <w:tcPr>
            <w:tcW w:type="pct" w:w="70%"/>
          </w:tcPr>
          <w:p>
            <w:r>
              <w:t xml:space="preserve">Margaret Thornton, Chief Executive Officer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Approval Date</w:t>
            </w:r>
          </w:p>
        </w:tc>
        <w:tc>
          <w:tcPr>
            <w:tcW w:type="pct" w:w="70%"/>
          </w:tcPr>
          <w:p>
            <w:r>
              <w:t xml:space="preserve">5 January 2025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Next Review Date</w:t>
            </w:r>
          </w:p>
        </w:tc>
        <w:tc>
          <w:tcPr>
            <w:tcW w:type="pct" w:w="70%"/>
          </w:tcPr>
          <w:p>
            <w:r>
              <w:t xml:space="preserve">5 January 2026</w:t>
            </w:r>
          </w:p>
        </w:tc>
      </w:tr>
    </w:tbl>
    <w:p>
      <w:pPr>
        <w:spacing w:line="240" w:after="400"/>
      </w:pPr>
    </w:p>
    <w:p>
      <w:pPr>
        <w:spacing w:after="200"/>
      </w:pPr>
      <w:r>
        <w:t xml:space="preserve">TABLE OF CONTENTS</w:t>
      </w:r>
    </w:p>
    <w:p>
      <w:pPr>
        <w:spacing w:after="100"/>
      </w:pPr>
      <w:r>
        <w:t xml:space="preserve">1. Purpose</w:t>
      </w:r>
    </w:p>
    <w:p>
      <w:pPr>
        <w:spacing w:after="100"/>
      </w:pPr>
      <w:r>
        <w:t xml:space="preserve">2. Scope and Objectives</w:t>
      </w:r>
    </w:p>
    <w:p>
      <w:pPr>
        <w:spacing w:after="100"/>
      </w:pPr>
      <w:r>
        <w:t xml:space="preserve">3. Risk Governance</w:t>
      </w:r>
    </w:p>
    <w:p>
      <w:pPr>
        <w:spacing w:after="100"/>
      </w:pPr>
      <w:r>
        <w:t xml:space="preserve">4. Risk Assessment Methodology</w:t>
      </w:r>
    </w:p>
    <w:p>
      <w:pPr>
        <w:spacing w:after="100"/>
      </w:pPr>
      <w:r>
        <w:t xml:space="preserve">5. Risk Appetite</w:t>
      </w:r>
    </w:p>
    <w:p>
      <w:pPr>
        <w:spacing w:after="100"/>
      </w:pPr>
      <w:r>
        <w:t xml:space="preserve">6. Risk Treatment Options</w:t>
      </w:r>
    </w:p>
    <w:p>
      <w:pPr>
        <w:spacing w:after="400"/>
      </w:pPr>
      <w:r>
        <w:t xml:space="preserve">7. Monitoring and Reporting</w:t>
      </w:r>
    </w:p>
    <w:p>
      <w:r/>
    </w:p>
    <w:p>
      <w:pPr>
        <w:pStyle w:val="Heading1"/>
        <w:spacing w:after="200"/>
      </w:pPr>
      <w:r>
        <w:t xml:space="preserve">1. PURPOSE</w:t>
      </w:r>
    </w:p>
    <w:p>
      <w:pPr>
        <w:spacing w:line="240" w:after="200"/>
      </w:pPr>
      <w:r>
        <w:t xml:space="preserve">Effective risk management is critical to achieving HorseInsure's strategic objectives and protecting stakeholder interests. This policy establishes the framework for systematically identifying, assessing and managing risks across the organisation.</w:t>
      </w:r>
    </w:p>
    <w:p>
      <w:pPr>
        <w:spacing w:line="240" w:after="200"/>
      </w:pPr>
      <w:r>
        <w:t xml:space="preserve">The organisation recognises that risks exist in all business areas including operations, information security, compliance, financial, strategic and reputational domains.</w:t>
      </w:r>
    </w:p>
    <w:p>
      <w:pPr>
        <w:pStyle w:val="Heading1"/>
        <w:spacing w:after="200"/>
      </w:pPr>
      <w:r>
        <w:t xml:space="preserve">2. SCOPE AND OBJECTIVES</w:t>
      </w:r>
    </w:p>
    <w:p>
      <w:pPr>
        <w:spacing w:line="240" w:after="150"/>
      </w:pPr>
      <w:r>
        <w:t xml:space="preserve">This policy applies to all business units and functions at HorseInsure including policy administration, claims processing, underwriting, IT operations and corporate functions.</w:t>
      </w:r>
    </w:p>
    <w:p>
      <w:pPr>
        <w:spacing w:after="100"/>
      </w:pPr>
      <w:r>
        <w:t xml:space="preserve">Key objectives are to: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Establish consistent risk identification and assessment practices across the organisation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Ensure risks are evaluated with consideration of likelihood and potential impact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Support informed decision-making about risk acceptance and treatment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 the effectiveness of risk treatments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Maintain documented evidence of risk assessments and decisions</w:t>
      </w:r>
    </w:p>
    <w:p>
      <w:pPr>
        <w:pStyle w:val="Heading1"/>
        <w:spacing w:after="200"/>
      </w:pPr>
      <w:r>
        <w:t xml:space="preserve">3. RISK GOVERNANCE</w:t>
      </w:r>
    </w:p>
    <w:p>
      <w:pPr>
        <w:spacing w:after="150"/>
      </w:pPr>
      <w:r>
        <w:t xml:space="preserve">Board and Executive Leadership: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Board of Directors provides governance oversight of organisational risk management and approves the risk appetite statement and key risk limits.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Executive Leadership reviews significant risks quarterly and approves risk treatment plans.</w:t>
      </w:r>
    </w:p>
    <w:p>
      <w:pPr>
        <w:spacing w:after="150"/>
      </w:pPr>
      <w:r>
        <w:t xml:space="preserve">Risk Management Committee: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Chaired by the Compliance Manager (Angela Torres) with membership including representatives from IT, Operations, Claims, Underwriting and Finance.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Meets bi-monthly to review identified risks, assess effectiveness of treatments and escalate risks requiring board attention.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Maintains risk register documenting all significant risks and treatment status.</w:t>
      </w:r>
    </w:p>
    <w:p>
      <w:pPr>
        <w:spacing w:after="150"/>
      </w:pPr>
      <w:r>
        <w:t xml:space="preserve">Department Managers: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Responsible for identifying risks within their areas of responsibility and implementing treatments.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Participate in risk assessments and provide input to risk prioritisation.</w:t>
      </w:r>
    </w:p>
    <w:p>
      <w:pPr>
        <w:pStyle w:val="Heading1"/>
        <w:spacing w:after="200"/>
      </w:pPr>
      <w:r>
        <w:t xml:space="preserve">4. RISK ASSESSMENT METHODOLOGY</w:t>
      </w:r>
    </w:p>
    <w:p>
      <w:pPr>
        <w:spacing w:after="150"/>
      </w:pPr>
      <w:r>
        <w:t xml:space="preserve">Assessment Process: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Comprehensive risk assessments are conducted annually in January covering all business areas.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Ad-hoc assessments are performed when significant business changes occur (new systems, organisational restructure, market changes).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Assessments involve representatives from affected areas and use structured workshops.</w:t>
      </w:r>
    </w:p>
    <w:p>
      <w:pPr>
        <w:spacing w:after="150"/>
      </w:pPr>
      <w:r>
        <w:t xml:space="preserve">Risk Rating: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Risks are rated using a 5x5 matrix considering likelihood (probability) and impact (consequence).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Likelihood scale: Rare (1), Unlikely (2), Possible (3), Likely (4), Almost Certain (5)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Impact scale: Negligible (1), Minor (2), Moderate (3), Major (4), Catastrophic (5)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Risk score = Likelihood × Impact, ranging from 1 (lowest) to 25 (highest).</w:t>
      </w:r>
    </w:p>
    <w:p>
      <w:pPr>
        <w:spacing w:after="150"/>
      </w:pPr>
      <w:r>
        <w:t xml:space="preserve">Risk Categories: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Strategic: Risks affecting long-term business objectives (market changes, competitive threats)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Operational: Risks in daily business processes (claims processing errors, equine data quality issues)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Information Security: Risks to data confidentiality, integrity and availability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Compliance: Risks related to regulatory obligations (privacy laws, insurance regulations)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Financial: Risks to revenue, expenses and financial stability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Reputational: Risks to brand reputation and stakeholder trust</w:t>
      </w:r>
    </w:p>
    <w:p>
      <w:pPr>
        <w:pStyle w:val="Heading1"/>
        <w:spacing w:after="200"/>
      </w:pPr>
      <w:r>
        <w:t xml:space="preserve">5. RISK APPETITE</w:t>
      </w:r>
    </w:p>
    <w:p>
      <w:pPr>
        <w:spacing w:line="240" w:after="150"/>
      </w:pPr>
      <w:r>
        <w:t xml:space="preserve">HorseInsure's risk appetite reflects the Board's willingness to accept risk in pursuit of strategic objectives. Risk appetite guidance is provided for major risk categories: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Strategic Risk: Moderate - growth through market expansion acceptable with prudent planning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Operational Risk: Low - operational excellence valued; errors affecting customer service or claims handling not acceptable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Information Security Risk: Very Low - breaches of customer data or systems unavailability unacceptable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 Risk: Very Low - regulatory violations unacceptable; full compliance expected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Reputational Risk: Low - actions protecting brand reputation prioritised</w:t>
      </w:r>
    </w:p>
    <w:p>
      <w:pPr>
        <w:pStyle w:val="Heading1"/>
        <w:spacing w:after="200"/>
      </w:pPr>
      <w:r>
        <w:t xml:space="preserve">6. RISK TREATMENT OPTIONS</w:t>
      </w:r>
    </w:p>
    <w:p>
      <w:pPr>
        <w:spacing w:line="240" w:after="150"/>
      </w:pPr>
      <w:r>
        <w:t xml:space="preserve">For assessed risks, management selects appropriate treatment options: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Avoid: Eliminate the risk by discontinuing the activity (e.g., exit unprofitable product lines)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Reduce: Implement controls to lower likelihood or impact (e.g., security controls reduce information security risk)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Transfer: Shift risk to third parties through insurance or contractual mechanisms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Accept: Acknowledge and monitor risk within risk appetite limits where treatment is not cost-effective</w:t>
      </w:r>
    </w:p>
    <w:p>
      <w:pPr>
        <w:spacing w:line="240" w:after="200"/>
      </w:pPr>
      <w:r>
        <w:t xml:space="preserve">Risks scoring 16-25 (high) require documented treatment plans with timelines and responsibility assignments.</w:t>
      </w:r>
    </w:p>
    <w:p>
      <w:pPr>
        <w:pStyle w:val="Heading1"/>
        <w:spacing w:after="200"/>
      </w:pPr>
      <w:r>
        <w:t xml:space="preserve">7. MONITORING AND REPORTING</w:t>
      </w:r>
    </w:p>
    <w:p>
      <w:pPr>
        <w:spacing w:after="150"/>
      </w:pPr>
      <w:r>
        <w:t xml:space="preserve">Risk Status: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Department managers provide monthly updates on high-priority risk treatment implementation.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register is maintained centrally and updated bi-monthly by the Compliance Manager.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Trend analysis is performed to identify emerging risks and validate treatment effectiveness.</w:t>
      </w:r>
    </w:p>
    <w:p>
      <w:pPr>
        <w:spacing w:after="150"/>
      </w:pPr>
      <w:r>
        <w:t xml:space="preserve">Board Reporting: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Risk Management Committee provides quarterly reports to the Board including risk summary, key changes and treatment progress.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Risks exceeding appetite thresholds are immediately escalated for Board consideration.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t xml:space="preserve">Annual risk assessment results and strategic risk priorities are presented to the Board for approval.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50%"/>
        </w:tcPr>
        <w:p>
          <w:r>
            <w:t xml:space="preserve">HorseInsure Pty Ltd</w:t>
          </w:r>
        </w:p>
      </w:tc>
      <w:tc>
        <w:tcPr>
          <w:tcW w:type="pct" w:w="50%"/>
        </w:tcPr>
        <w:p>
          <w:r>
            <w:t xml:space="preserve">ABN 41 209 837 156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2026-02-15T07:24:24.096Z</dcterms:created>
  <dcterms:modified xsi:type="dcterms:W3CDTF">2026-02-15T07:24:24.096Z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