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t xml:space="preserve">SUPPLIER AND THIRD-PARTY MANAGEMENT POLICY</w:t>
      </w:r>
    </w:p>
    <w:p>
      <w:pPr>
        <w:pStyle w:val="Heading1"/>
        <w:spacing w:before="200" w:after="200"/>
      </w:pPr>
      <w:r>
        <w:t xml:space="preserve">Policy Control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shd w:fill="E7E6E6" w:val="clear"/>
          </w:tcPr>
          <w:p>
            <w:r>
              <w:t xml:space="preserve">Document ID</w:t>
            </w:r>
          </w:p>
        </w:tc>
        <w:tc>
          <w:tcPr>
            <w:tcW w:type="dxa" w:w="4000"/>
          </w:tcPr>
          <w:p>
            <w:r>
              <w:t xml:space="preserve">POL-010</w:t>
            </w:r>
          </w:p>
        </w:tc>
        <w:tc>
          <w:tcPr>
            <w:tcW w:type="dxa" w:w="2000"/>
            <w:shd w:fill="E7E6E6" w:val="clear"/>
          </w:tcPr>
          <w:p>
            <w:r>
              <w:t xml:space="preserve">Version</w:t>
            </w:r>
          </w:p>
        </w:tc>
        <w:tc>
          <w:tcPr>
            <w:tcW w:type="dxa" w:w="4000"/>
          </w:tcPr>
          <w:p>
            <w:r>
              <w:t xml:space="preserve">1.0</w:t>
            </w:r>
          </w:p>
        </w:tc>
      </w:tr>
      <w:tr>
        <w:tc>
          <w:tcPr>
            <w:tcW w:type="dxa" w:w="2000"/>
            <w:shd w:fill="E7E6E6" w:val="clear"/>
          </w:tcPr>
          <w:p>
            <w:r>
              <w:t xml:space="preserve">Policy Owner</w:t>
            </w:r>
          </w:p>
        </w:tc>
        <w:tc>
          <w:tcPr>
            <w:tcW w:type="dxa" w:w="4000"/>
          </w:tcPr>
          <w:p>
            <w:r>
              <w:t xml:space="preserve">Angela Torres, Compliance Manager</w:t>
            </w:r>
          </w:p>
        </w:tc>
        <w:tc>
          <w:tcPr>
            <w:tcW w:type="dxa" w:w="2000"/>
            <w:shd w:fill="E7E6E6" w:val="clear"/>
          </w:tcPr>
          <w:p>
            <w:r>
              <w:t xml:space="preserve">Approved By</w:t>
            </w:r>
          </w:p>
        </w:tc>
        <w:tc>
          <w:tcPr>
            <w:tcW w:type="dxa" w:w="4000"/>
          </w:tcPr>
          <w:p>
            <w:r>
              <w:t xml:space="preserve">David Chen, CIO/CISO</w:t>
            </w:r>
          </w:p>
        </w:tc>
      </w:tr>
      <w:tr>
        <w:tc>
          <w:tcPr>
            <w:tcW w:type="dxa" w:w="2000"/>
            <w:shd w:fill="E7E6E6" w:val="clear"/>
          </w:tcPr>
          <w:p>
            <w:r>
              <w:t xml:space="preserve">Approval Date</w:t>
            </w:r>
          </w:p>
        </w:tc>
        <w:tc>
          <w:tcPr>
            <w:tcW w:type="dxa" w:w="4000"/>
          </w:tcPr>
          <w:p>
            <w:r>
              <w:t xml:space="preserve">9 May 2025</w:t>
            </w:r>
          </w:p>
        </w:tc>
        <w:tc>
          <w:tcPr>
            <w:tcW w:type="dxa" w:w="2000"/>
            <w:shd w:fill="E7E6E6" w:val="clear"/>
          </w:tcPr>
          <w:p>
            <w:r>
              <w:t xml:space="preserve">Next Review</w:t>
            </w:r>
          </w:p>
        </w:tc>
        <w:tc>
          <w:tcPr>
            <w:tcW w:type="dxa" w:w="4000"/>
          </w:tcPr>
          <w:p>
            <w:r>
              <w:t xml:space="preserve">9 May 2026</w:t>
            </w:r>
          </w:p>
        </w:tc>
      </w:tr>
    </w:tbl>
    <w:p>
      <w:pPr>
        <w:pStyle w:val="Heading1"/>
        <w:spacing w:before="300" w:after="200"/>
      </w:pPr>
      <w:r>
        <w:t xml:space="preserve">1. Purpose</w:t>
      </w:r>
    </w:p>
    <w:p>
      <w:pPr>
        <w:spacing w:after="200"/>
      </w:pPr>
      <w:r>
        <w:t xml:space="preserve">This policy establishes requirements for the assessment, monitoring, and management of suppliers and third-party service providers who have access to HorseInsure information systems, facilities, or sensitive data. Third-party relationships present significant security risks and must be carefully managed throughout their lifecycle.</w:t>
      </w:r>
    </w:p>
    <w:p>
      <w:pPr>
        <w:pStyle w:val="Heading1"/>
        <w:spacing w:before="300" w:after="200"/>
      </w:pPr>
      <w:r>
        <w:t xml:space="preserve">2. Scope</w:t>
      </w:r>
    </w:p>
    <w:p>
      <w:pPr>
        <w:spacing w:after="200"/>
      </w:pPr>
      <w:r>
        <w:t xml:space="preserve">This policy applies to all external service providers including software vendors, cloud service providers, IT contractors, consultants, facilities management companies, security providers, and any other third parties who interact with HorseInsure systems or data. This includes both new supplier onboarding and ongoing management of existing relationships.</w:t>
      </w:r>
    </w:p>
    <w:p>
      <w:pPr>
        <w:pStyle w:val="Heading1"/>
        <w:spacing w:before="300" w:after="200"/>
      </w:pPr>
      <w:r>
        <w:t xml:space="preserve">3. Supplier Assessment and Selection</w:t>
      </w:r>
    </w:p>
    <w:p>
      <w:pPr>
        <w:pStyle w:val="Heading2"/>
        <w:spacing w:before="200" w:after="150"/>
      </w:pPr>
      <w:r>
        <w:t xml:space="preserve">3.1 Initial Due Diligence</w:t>
      </w:r>
    </w:p>
    <w:p>
      <w:pPr>
        <w:spacing w:after="150"/>
      </w:pPr>
      <w:r>
        <w:t xml:space="preserve">Before engaging any supplier, the business unit must conduct an assessment of the supplier's security and reliability. Key areas to evaluate include:</w:t>
      </w:r>
    </w:p>
    <w:p>
      <w:pPr>
        <w:spacing w:after="100"/>
        <w:ind w:left="400"/>
      </w:pPr>
      <w:r>
        <w:t xml:space="preserve">Business reputation and financial stability</w:t>
      </w:r>
    </w:p>
    <w:p>
      <w:pPr>
        <w:spacing w:after="100"/>
        <w:ind w:left="400"/>
      </w:pPr>
      <w:r>
        <w:t xml:space="preserve">Industry certifications (ISO 27001, SOC 2, cloud certifications)</w:t>
      </w:r>
    </w:p>
    <w:p>
      <w:pPr>
        <w:spacing w:after="100"/>
        <w:ind w:left="400"/>
      </w:pPr>
      <w:r>
        <w:t xml:space="preserve">Data protection and privacy compliance capabilities</w:t>
      </w:r>
    </w:p>
    <w:p>
      <w:pPr>
        <w:spacing w:after="100"/>
        <w:ind w:left="400"/>
      </w:pPr>
      <w:r>
        <w:t xml:space="preserve">Security incident history and breach notifications</w:t>
      </w:r>
    </w:p>
    <w:p>
      <w:pPr>
        <w:spacing w:after="200"/>
        <w:ind w:left="400"/>
      </w:pPr>
      <w:r>
        <w:t xml:space="preserve">Vendor financial reports and regulatory compliance</w:t>
      </w:r>
    </w:p>
    <w:p>
      <w:pPr>
        <w:pStyle w:val="Heading2"/>
        <w:spacing w:before="200" w:after="150"/>
      </w:pPr>
      <w:r>
        <w:t xml:space="preserve">3.2 Risk Classification</w:t>
      </w:r>
    </w:p>
    <w:p>
      <w:pPr>
        <w:spacing w:after="150"/>
      </w:pPr>
      <w:r>
        <w:t xml:space="preserve">All suppliers must be classified as critical, high, medium, or low risk based on:</w:t>
      </w:r>
    </w:p>
    <w:p>
      <w:pPr>
        <w:spacing w:after="100"/>
        <w:ind w:left="400"/>
      </w:pPr>
      <w:r>
        <w:t xml:space="preserve">Type and volume of data accessed</w:t>
      </w:r>
    </w:p>
    <w:p>
      <w:pPr>
        <w:spacing w:after="100"/>
        <w:ind w:left="400"/>
      </w:pPr>
      <w:r>
        <w:t xml:space="preserve">Criticality of systems supported</w:t>
      </w:r>
    </w:p>
    <w:p>
      <w:pPr>
        <w:spacing w:after="100"/>
        <w:ind w:left="400"/>
      </w:pPr>
      <w:r>
        <w:t xml:space="preserve">Geographic location and regulatory jurisdiction</w:t>
      </w:r>
    </w:p>
    <w:p>
      <w:pPr>
        <w:spacing w:after="200"/>
        <w:ind w:left="400"/>
      </w:pPr>
      <w:r>
        <w:t xml:space="preserve">Potential for business impact if breached</w:t>
      </w:r>
    </w:p>
    <w:p>
      <w:r>
        <w:t xml:space="preserve">Page break</w:t>
      </w:r>
      <w:r>
        <w:br w:type="page"/>
      </w:r>
    </w:p>
    <w:p>
      <w:pPr>
        <w:pStyle w:val="Heading1"/>
        <w:spacing w:before="300" w:after="200"/>
      </w:pPr>
      <w:r>
        <w:t xml:space="preserve">4. Supplier Contract Requirements</w:t>
      </w:r>
    </w:p>
    <w:p>
      <w:pPr>
        <w:pStyle w:val="Heading2"/>
        <w:spacing w:before="200" w:after="150"/>
      </w:pPr>
      <w:r>
        <w:t xml:space="preserve">4.1 Security Obligations</w:t>
      </w:r>
    </w:p>
    <w:p>
      <w:pPr>
        <w:spacing w:after="150"/>
      </w:pPr>
      <w:r>
        <w:t xml:space="preserve">All supplier contracts must include security and data protection clauses covering:</w:t>
      </w:r>
    </w:p>
    <w:p>
      <w:pPr>
        <w:spacing w:after="100"/>
        <w:ind w:left="400"/>
      </w:pPr>
      <w:r>
        <w:t xml:space="preserve">Confidentiality and data protection obligations</w:t>
      </w:r>
    </w:p>
    <w:p>
      <w:pPr>
        <w:spacing w:after="100"/>
        <w:ind w:left="400"/>
      </w:pPr>
      <w:r>
        <w:t xml:space="preserve">Compliance with HorseInsure security policies and standards</w:t>
      </w:r>
    </w:p>
    <w:p>
      <w:pPr>
        <w:spacing w:after="100"/>
        <w:ind w:left="400"/>
      </w:pPr>
      <w:r>
        <w:t xml:space="preserve">Requirement to notify HorseInsure of security incidents within 24 hours</w:t>
      </w:r>
    </w:p>
    <w:p>
      <w:pPr>
        <w:spacing w:after="100"/>
        <w:ind w:left="400"/>
      </w:pPr>
      <w:r>
        <w:t xml:space="preserve">Right to audit and assess supplier's security controls</w:t>
      </w:r>
    </w:p>
    <w:p>
      <w:pPr>
        <w:spacing w:after="100"/>
        <w:ind w:left="400"/>
      </w:pPr>
      <w:r>
        <w:t xml:space="preserve">Requirements for subcontractor management</w:t>
      </w:r>
    </w:p>
    <w:p>
      <w:pPr>
        <w:spacing w:after="200"/>
        <w:ind w:left="400"/>
      </w:pPr>
      <w:r>
        <w:t xml:space="preserve">Data return or destruction upon contract termination</w:t>
      </w:r>
    </w:p>
    <w:p>
      <w:pPr>
        <w:pStyle w:val="Heading2"/>
        <w:spacing w:before="200" w:after="150"/>
      </w:pPr>
      <w:r>
        <w:t xml:space="preserve">4.2 Service Level Agreements</w:t>
      </w:r>
    </w:p>
    <w:p>
      <w:pPr>
        <w:spacing w:after="200"/>
      </w:pPr>
      <w:r>
        <w:t xml:space="preserve">Service Level Agreements (SLAs) must define availability, performance, and incident response targets. SLAs must be monitored and reported monthly. Breaches of SLA targets trigger reviews of supplier performance and possible contract renegotiation.</w:t>
      </w:r>
    </w:p>
    <w:p>
      <w:pPr>
        <w:pStyle w:val="Heading1"/>
        <w:spacing w:before="300" w:after="200"/>
      </w:pPr>
      <w:r>
        <w:t xml:space="preserve">5. Ongoing Supplier Monitoring</w:t>
      </w:r>
    </w:p>
    <w:p>
      <w:pPr>
        <w:pStyle w:val="Heading2"/>
        <w:spacing w:before="200" w:after="150"/>
      </w:pPr>
      <w:r>
        <w:t xml:space="preserve">5.1 Performance Review</w:t>
      </w:r>
    </w:p>
    <w:p>
      <w:pPr>
        <w:spacing w:after="150"/>
      </w:pPr>
      <w:r>
        <w:t xml:space="preserve">Critical and high-risk suppliers are reviewed quarterly. Medium and low-risk suppliers are reviewed annually. Reviews must examine:</w:t>
      </w:r>
    </w:p>
    <w:p>
      <w:pPr>
        <w:spacing w:after="100"/>
        <w:ind w:left="400"/>
      </w:pPr>
      <w:r>
        <w:t xml:space="preserve">Service level agreement compliance</w:t>
      </w:r>
    </w:p>
    <w:p>
      <w:pPr>
        <w:spacing w:after="100"/>
        <w:ind w:left="400"/>
      </w:pPr>
      <w:r>
        <w:t xml:space="preserve">Security incidents and breaches</w:t>
      </w:r>
    </w:p>
    <w:p>
      <w:pPr>
        <w:spacing w:after="100"/>
        <w:ind w:left="400"/>
      </w:pPr>
      <w:r>
        <w:t xml:space="preserve">Changes in business ownership or organizational structure</w:t>
      </w:r>
    </w:p>
    <w:p>
      <w:pPr>
        <w:spacing w:after="200"/>
        <w:ind w:left="400"/>
      </w:pPr>
      <w:r>
        <w:t xml:space="preserve">New regulatory obligations or compliance changes</w:t>
      </w:r>
    </w:p>
    <w:p>
      <w:pPr>
        <w:pStyle w:val="Heading2"/>
        <w:spacing w:before="200" w:after="150"/>
      </w:pPr>
      <w:r>
        <w:t xml:space="preserve">5.2 Security Audits</w:t>
      </w:r>
    </w:p>
    <w:p>
      <w:pPr>
        <w:spacing w:after="200"/>
      </w:pPr>
      <w:r>
        <w:t xml:space="preserve">Critical suppliers must be audited at least annually. High-risk suppliers are audited every 18 months. Audits may be conducted on-site or remotely and must assess compliance with security requirements. Audit findings are documented and remediation timelines agreed upon.</w:t>
      </w:r>
    </w:p>
    <w:p>
      <w:pPr>
        <w:pStyle w:val="Heading2"/>
        <w:spacing w:before="200" w:after="150"/>
      </w:pPr>
      <w:r>
        <w:t xml:space="preserve">5.3 Incident Notification</w:t>
      </w:r>
    </w:p>
    <w:p>
      <w:pPr>
        <w:spacing w:after="200"/>
      </w:pPr>
      <w:r>
        <w:t xml:space="preserve">Suppliers must notify HorseInsure within 24 hours of any security incidents affecting HorseInsure data or systems. Notification must include a description of the incident, data affected, and remediation measures being taken. Major incidents may trigger immediate audit or suspension of services.</w:t>
      </w:r>
    </w:p>
    <w:p>
      <w:pPr>
        <w:pStyle w:val="Heading1"/>
        <w:spacing w:before="300" w:after="200"/>
      </w:pPr>
      <w:r>
        <w:t xml:space="preserve">6. Subcontractor Management</w:t>
      </w:r>
    </w:p>
    <w:p>
      <w:pPr>
        <w:spacing w:after="200"/>
      </w:pPr>
      <w:r>
        <w:t xml:space="preserve">Suppliers must not engage subcontractors without prior written approval from HorseInsure. Subcontractors must meet the same security and compliance requirements as the primary supplier. All subcontractor relationships must be documented and tracked. HorseInsure reserves the right to audit subcontractors directly.</w:t>
      </w:r>
    </w:p>
    <w:p>
      <w:pPr>
        <w:pStyle w:val="Heading1"/>
        <w:spacing w:before="300" w:after="200"/>
      </w:pPr>
      <w:r>
        <w:t xml:space="preserve">7. Supplier Off-boarding</w:t>
      </w:r>
    </w:p>
    <w:p>
      <w:pPr>
        <w:pStyle w:val="Heading2"/>
        <w:spacing w:before="200" w:after="150"/>
      </w:pPr>
      <w:r>
        <w:t xml:space="preserve">7.1 Contract Termination</w:t>
      </w:r>
    </w:p>
    <w:p>
      <w:pPr>
        <w:spacing w:after="150"/>
      </w:pPr>
      <w:r>
        <w:t xml:space="preserve">Upon contract termination or end of service, the following off-boarding activities must be completed within 5 business days:</w:t>
      </w:r>
    </w:p>
    <w:p>
      <w:pPr>
        <w:spacing w:after="100"/>
        <w:ind w:left="400"/>
      </w:pPr>
      <w:r>
        <w:t xml:space="preserve">Revoke all access to HorseInsure systems and facilities</w:t>
      </w:r>
    </w:p>
    <w:p>
      <w:pPr>
        <w:spacing w:after="100"/>
        <w:ind w:left="400"/>
      </w:pPr>
      <w:r>
        <w:t xml:space="preserve">Confirm return or secure destruction of HorseInsure data</w:t>
      </w:r>
    </w:p>
    <w:p>
      <w:pPr>
        <w:spacing w:after="100"/>
        <w:ind w:left="400"/>
      </w:pPr>
      <w:r>
        <w:t xml:space="preserve">Recover all company equipment and access tokens</w:t>
      </w:r>
    </w:p>
    <w:p>
      <w:pPr>
        <w:spacing w:after="200"/>
        <w:ind w:left="400"/>
      </w:pPr>
      <w:r>
        <w:t xml:space="preserve">Confirm supplier compliance with ongoing confidentiality obligations</w:t>
      </w:r>
    </w:p>
    <w:p>
      <w:pPr>
        <w:pStyle w:val="Heading2"/>
        <w:spacing w:before="200" w:after="150"/>
      </w:pPr>
      <w:r>
        <w:t xml:space="preserve">7.2 Data Handling</w:t>
      </w:r>
    </w:p>
    <w:p>
      <w:pPr>
        <w:spacing w:after="200"/>
      </w:pPr>
      <w:r>
        <w:t xml:space="preserve">Upon contract termination, all HorseInsure data held by the supplier must be returned or securely destroyed. A certificate of destruction must be provided confirming compliance. No data may be retained for backup, recovery, or legal purposes without written authorization.</w:t>
      </w:r>
    </w:p>
    <w:p>
      <w:pPr>
        <w:pStyle w:val="Heading1"/>
        <w:spacing w:before="300" w:after="200"/>
      </w:pPr>
      <w:r>
        <w:t xml:space="preserve">8. Compliance and Governance</w:t>
      </w:r>
    </w:p>
    <w:p>
      <w:pPr>
        <w:spacing w:after="200"/>
      </w:pPr>
      <w:r>
        <w:t xml:space="preserve">The Compliance Manager maintains a supplier risk register documenting all supplier relationships, risk ratings, and compliance status. This register is reviewed quarterly by the CIO and Compliance Manager. Annual compliance reporting to the Board includes supplier management status.</w:t>
      </w:r>
    </w:p>
    <w:p>
      <w:pPr>
        <w:pStyle w:val="Heading1"/>
        <w:spacing w:before="300" w:after="200"/>
      </w:pPr>
      <w:r>
        <w:t xml:space="preserve">Document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E7E6E6" w:val="clear"/>
          </w:tcPr>
          <w:p>
            <w:r>
              <w:t xml:space="preserve">Version</w:t>
            </w:r>
          </w:p>
        </w:tc>
        <w:tc>
          <w:tcPr>
            <w:tcW w:type="dxa" w:w="2500"/>
            <w:shd w:fill="E7E6E6" w:val="clear"/>
          </w:tcPr>
          <w:p>
            <w:r>
              <w:t xml:space="preserve">Date</w:t>
            </w:r>
          </w:p>
        </w:tc>
        <w:tc>
          <w:tcPr>
            <w:tcW w:type="dxa" w:w="2500"/>
            <w:shd w:fill="E7E6E6" w:val="clear"/>
          </w:tcPr>
          <w:p>
            <w:r>
              <w:t xml:space="preserve">Author</w:t>
            </w:r>
          </w:p>
        </w:tc>
        <w:tc>
          <w:tcPr>
            <w:tcW w:type="dxa" w:w="3500"/>
            <w:shd w:fill="E7E6E6" w:val="clear"/>
          </w:tcPr>
          <w:p>
            <w:r>
              <w:t xml:space="preserve">Changes</w:t>
            </w:r>
          </w:p>
        </w:tc>
      </w:tr>
      <w:tr>
        <w:tc>
          <w:tcPr>
            <w:tcW w:type="dxa" w:w="1500"/>
          </w:tcPr>
          <w:p>
            <w:r>
              <w:t xml:space="preserve">1.0</w:t>
            </w:r>
          </w:p>
        </w:tc>
        <w:tc>
          <w:tcPr>
            <w:tcW w:type="dxa" w:w="2500"/>
          </w:tcPr>
          <w:p>
            <w:r>
              <w:t xml:space="preserve">9 May 2025</w:t>
            </w:r>
          </w:p>
        </w:tc>
        <w:tc>
          <w:tcPr>
            <w:tcW w:type="dxa" w:w="2500"/>
          </w:tcPr>
          <w:p>
            <w:r>
              <w:t xml:space="preserve">A. Torres</w:t>
            </w:r>
          </w:p>
        </w:tc>
        <w:tc>
          <w:tcPr>
            <w:tcW w:type="dxa" w:w="3500"/>
          </w:tcPr>
          <w:p>
            <w:r>
              <w:t xml:space="preserve">Initial release</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Page </w:t>
    </w:r>
    <w:r>
      <CURRENT>CURRENT</CURR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Pr>
        <w:p>
          <w:r>
            <w:t xml:space="preserve">HorseInsure Pty Ltd</w:t>
          </w:r>
        </w:p>
        <w:p>
          <w:r>
            <w:t xml:space="preserve">ABN 41 209 837 156</w:t>
          </w:r>
        </w:p>
      </w:tc>
      <w:tc>
        <w:tcPr>
          <w:tcW w:type="dxa" w:w="3000"/>
        </w:tcPr>
        <w:p>
          <w:pPr>
            <w:jc w:val="right"/>
          </w:pPr>
          <w:r>
            <w:t xml:space="preserve">Supplier &amp; Third-Party</w:t>
          </w:r>
        </w:p>
        <w:p>
          <w:pPr>
            <w:jc w:val="right"/>
          </w:pPr>
          <w:r>
            <w:t xml:space="preserve">POL-010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2026-02-15T07:23:31.505Z</dcterms:created>
  <dcterms:modified xsi:type="dcterms:W3CDTF">2026-02-15T07:23:31.505Z</dcterms:modified>
</cp:coreProperties>
</file>

<file path=docProps/custom.xml><?xml version="1.0" encoding="utf-8"?>
<Properties xmlns="http://schemas.openxmlformats.org/officeDocument/2006/custom-properties" xmlns:vt="http://schemas.openxmlformats.org/officeDocument/2006/docPropsVTypes"/>
</file>