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CHANGE MANAGEMENT POLICY</w:t>
      </w:r>
    </w:p>
    <w:p>
      <w:pPr>
        <w:pStyle w:val="Heading1"/>
        <w:spacing w:before="200" w:after="200"/>
      </w:pPr>
      <w:r>
        <w:t xml:space="preserve">Policy Control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E7E6E6" w:val="clear"/>
          </w:tcPr>
          <w:p>
            <w:r>
              <w:t xml:space="preserve">Document ID</w:t>
            </w:r>
          </w:p>
        </w:tc>
        <w:tc>
          <w:tcPr>
            <w:tcW w:type="dxa" w:w="4000"/>
          </w:tcPr>
          <w:p>
            <w:r>
              <w:t xml:space="preserve">POL-011</w:t>
            </w:r>
          </w:p>
        </w:tc>
        <w:tc>
          <w:tcPr>
            <w:tcW w:type="dxa" w:w="2000"/>
            <w:shd w:fill="E7E6E6" w:val="clear"/>
          </w:tcPr>
          <w:p>
            <w:r>
              <w:t xml:space="preserve">Version</w:t>
            </w:r>
          </w:p>
        </w:tc>
        <w:tc>
          <w:tcPr>
            <w:tcW w:type="dxa" w:w="4000"/>
          </w:tcPr>
          <w:p>
            <w:r>
              <w:t xml:space="preserve">1.4</w:t>
            </w:r>
          </w:p>
        </w:tc>
      </w:tr>
      <w:tr>
        <w:tc>
          <w:tcPr>
            <w:tcW w:type="dxa" w:w="2000"/>
            <w:shd w:fill="E7E6E6" w:val="clear"/>
          </w:tcPr>
          <w:p>
            <w:r>
              <w:t xml:space="preserve">Policy Owner</w:t>
            </w:r>
          </w:p>
        </w:tc>
        <w:tc>
          <w:tcPr>
            <w:tcW w:type="dxa" w:w="4000"/>
          </w:tcPr>
          <w:p>
            <w:r>
              <w:t xml:space="preserve">Sarah Williams, Head of IT</w:t>
            </w:r>
          </w:p>
        </w:tc>
        <w:tc>
          <w:tcPr>
            <w:tcW w:type="dxa" w:w="2000"/>
            <w:shd w:fill="E7E6E6" w:val="clear"/>
          </w:tcPr>
          <w:p>
            <w:r>
              <w:t xml:space="preserve">Approved By</w:t>
            </w:r>
          </w:p>
        </w:tc>
        <w:tc>
          <w:tcPr>
            <w:tcW w:type="dxa" w:w="4000"/>
          </w:tcPr>
          <w:p>
            <w:r>
              <w:t xml:space="preserve">David Chen, CIO/CISO</w:t>
            </w:r>
          </w:p>
        </w:tc>
      </w:tr>
      <w:tr>
        <w:tc>
          <w:tcPr>
            <w:tcW w:type="dxa" w:w="2000"/>
            <w:shd w:fill="E7E6E6" w:val="clear"/>
          </w:tcPr>
          <w:p>
            <w:r>
              <w:t xml:space="preserve">Approval Date</w:t>
            </w:r>
          </w:p>
        </w:tc>
        <w:tc>
          <w:tcPr>
            <w:tcW w:type="dxa" w:w="4000"/>
          </w:tcPr>
          <w:p>
            <w:r>
              <w:t xml:space="preserve">28 June 2025</w:t>
            </w:r>
          </w:p>
        </w:tc>
        <w:tc>
          <w:tcPr>
            <w:tcW w:type="dxa" w:w="2000"/>
            <w:shd w:fill="E7E6E6" w:val="clear"/>
          </w:tcPr>
          <w:p>
            <w:r>
              <w:t xml:space="preserve">Next Review</w:t>
            </w:r>
          </w:p>
        </w:tc>
        <w:tc>
          <w:tcPr>
            <w:tcW w:type="dxa" w:w="4000"/>
          </w:tcPr>
          <w:p>
            <w:r>
              <w:t xml:space="preserve">28 June 2026</w:t>
            </w:r>
          </w:p>
        </w:tc>
      </w:tr>
    </w:tbl>
    <w:p>
      <w:pPr>
        <w:pStyle w:val="Heading1"/>
        <w:spacing w:before="300" w:after="200"/>
      </w:pPr>
      <w:r>
        <w:t xml:space="preserve">1. Purpose</w:t>
      </w:r>
    </w:p>
    <w:p>
      <w:pPr>
        <w:spacing w:after="200"/>
      </w:pPr>
      <w:r>
        <w:t xml:space="preserve">This policy establishes a structured change management process to ensure that all changes to HorseInsure's IT systems and infrastructure are planned, tested, approved, and implemented in a controlled manner. This process minimizes the risk of unplanned downtime, data loss, and security breaches.</w:t>
      </w:r>
    </w:p>
    <w:p>
      <w:pPr>
        <w:pStyle w:val="Heading1"/>
        <w:spacing w:before="300" w:after="200"/>
      </w:pPr>
      <w:r>
        <w:t xml:space="preserve">2. Scope</w:t>
      </w:r>
    </w:p>
    <w:p>
      <w:pPr>
        <w:spacing w:after="200"/>
      </w:pPr>
      <w:r>
        <w:t xml:space="preserve">This policy applies to all changes to information systems, infrastructure, databases, applications, network configurations, and security settings. Changes include upgrades, patches, configuration modifications, new installations, and decommissioning of systems. This applies to systems at all HorseInsure locations including Sydney, Dubbo, and Scone facilities.</w:t>
      </w:r>
    </w:p>
    <w:p>
      <w:pPr>
        <w:pStyle w:val="Heading1"/>
        <w:spacing w:before="300" w:after="200"/>
      </w:pPr>
      <w:r>
        <w:t xml:space="preserve">3. Change Classification</w:t>
      </w:r>
    </w:p>
    <w:p>
      <w:pPr>
        <w:pStyle w:val="Heading2"/>
        <w:spacing w:before="200" w:after="150"/>
      </w:pPr>
      <w:r>
        <w:t xml:space="preserve">3.1 Standard Changes</w:t>
      </w:r>
    </w:p>
    <w:p>
      <w:pPr>
        <w:spacing w:after="200"/>
      </w:pPr>
      <w:r>
        <w:t xml:space="preserve">Standard changes are pre-approved changes that carry minimal risk and do not impact business operations. Examples include applying security patches during scheduled maintenance windows, routine password resets, adding users to established groups, and planned system backups. Standard changes require single-level approval (by IT Manager) and may be implemented immediately upon approval.</w:t>
      </w:r>
    </w:p>
    <w:p>
      <w:pPr>
        <w:pStyle w:val="Heading2"/>
        <w:spacing w:before="200" w:after="150"/>
      </w:pPr>
      <w:r>
        <w:t xml:space="preserve">3.2 Normal Changes</w:t>
      </w:r>
    </w:p>
    <w:p>
      <w:pPr>
        <w:spacing w:after="200"/>
      </w:pPr>
      <w:r>
        <w:t xml:space="preserve">Normal changes have some risk but are necessary for business operations. These include software upgrades, new application deployments, network modifications, and configuration changes affecting multiple systems. Normal changes require full change control process including formal documentation, testing plan, business approval, and change board approval. Implementation must occur during scheduled change windows.</w:t>
      </w:r>
    </w:p>
    <w:p>
      <w:pPr>
        <w:pStyle w:val="Heading2"/>
        <w:spacing w:before="200" w:after="150"/>
      </w:pPr>
      <w:r>
        <w:t xml:space="preserve">3.3 High-Risk Changes</w:t>
      </w:r>
    </w:p>
    <w:p>
      <w:pPr>
        <w:spacing w:after="200"/>
      </w:pPr>
      <w:r>
        <w:t xml:space="preserve">High-risk changes significantly impact business operations or security. These include major system overhauls, changes to payment processing systems, modifications to policyholder databases, and security architecture changes. High-risk changes require extensive documentation, comprehensive testing, business continuity planning, executive approval (CIO or CEO), and change board oversight. Implementation must be scheduled with stakeholder agreement.</w:t>
      </w:r>
    </w:p>
    <w:p>
      <w:r>
        <w:t xml:space="preserve">Page break</w:t>
      </w:r>
      <w:r>
        <w:br w:type="page"/>
      </w:r>
    </w:p>
    <w:p>
      <w:pPr>
        <w:pStyle w:val="Heading1"/>
        <w:spacing w:before="300" w:after="200"/>
      </w:pPr>
      <w:r>
        <w:t xml:space="preserve">4. Change Request Process</w:t>
      </w:r>
    </w:p>
    <w:p>
      <w:pPr>
        <w:pStyle w:val="Heading2"/>
        <w:spacing w:before="200" w:after="150"/>
      </w:pPr>
      <w:r>
        <w:t xml:space="preserve">4.1 Change Request Submission</w:t>
      </w:r>
    </w:p>
    <w:p>
      <w:pPr>
        <w:spacing w:after="150"/>
      </w:pPr>
      <w:r>
        <w:t xml:space="preserve">All change requests must be submitted via the IT Service Portal using the standard change request form. The request must include:</w:t>
      </w:r>
    </w:p>
    <w:p>
      <w:pPr>
        <w:spacing w:after="100"/>
        <w:ind w:left="400"/>
      </w:pPr>
      <w:r>
        <w:t xml:space="preserve">Description of the change and business justification</w:t>
      </w:r>
    </w:p>
    <w:p>
      <w:pPr>
        <w:spacing w:after="100"/>
        <w:ind w:left="400"/>
      </w:pPr>
      <w:r>
        <w:t xml:space="preserve">Systems and services affected</w:t>
      </w:r>
    </w:p>
    <w:p>
      <w:pPr>
        <w:spacing w:after="100"/>
        <w:ind w:left="400"/>
      </w:pPr>
      <w:r>
        <w:t xml:space="preserve">Implementation plan and detailed steps</w:t>
      </w:r>
    </w:p>
    <w:p>
      <w:pPr>
        <w:spacing w:after="100"/>
        <w:ind w:left="400"/>
      </w:pPr>
      <w:r>
        <w:t xml:space="preserve">Testing methodology and acceptance criteria</w:t>
      </w:r>
    </w:p>
    <w:p>
      <w:pPr>
        <w:spacing w:after="100"/>
        <w:ind w:left="400"/>
      </w:pPr>
      <w:r>
        <w:t xml:space="preserve">Rollback procedures and contingency plans</w:t>
      </w:r>
    </w:p>
    <w:p>
      <w:pPr>
        <w:spacing w:after="100"/>
        <w:ind w:left="400"/>
      </w:pPr>
      <w:r>
        <w:t xml:space="preserve">Estimated downtime (if any)</w:t>
      </w:r>
    </w:p>
    <w:p>
      <w:pPr>
        <w:spacing w:after="200"/>
        <w:ind w:left="400"/>
      </w:pPr>
      <w:r>
        <w:t xml:space="preserve">Implementation start and end dates</w:t>
      </w:r>
    </w:p>
    <w:p>
      <w:pPr>
        <w:pStyle w:val="Heading2"/>
        <w:spacing w:before="200" w:after="150"/>
      </w:pPr>
      <w:r>
        <w:t xml:space="preserve">4.2 Change Assessment</w:t>
      </w:r>
    </w:p>
    <w:p>
      <w:pPr>
        <w:spacing w:after="200"/>
      </w:pPr>
      <w:r>
        <w:t xml:space="preserve">The Change Manager reviews each request within two business days to determine classification and completeness. Incomplete or unclear requests are returned for revision. High-risk changes are escalated to the CIO for initial review.</w:t>
      </w:r>
    </w:p>
    <w:p>
      <w:pPr>
        <w:pStyle w:val="Heading2"/>
        <w:spacing w:before="200" w:after="150"/>
      </w:pPr>
      <w:r>
        <w:t xml:space="preserve">4.3 Approval Process</w:t>
      </w:r>
    </w:p>
    <w:p>
      <w:pPr>
        <w:spacing w:after="200"/>
      </w:pPr>
      <w:r>
        <w:t xml:space="preserve">Standard changes: Approved by IT Manager within 2 business days. Normal changes: Approved by Change Advisory Board (CAB) within 3 business days. Change is reviewed for potential impacts on business units. High-risk changes: Approved by CIO or CEO after CAB review. May require executive steering committee involvement.</w:t>
      </w:r>
    </w:p>
    <w:p>
      <w:pPr>
        <w:pStyle w:val="Heading1"/>
        <w:spacing w:before="300" w:after="200"/>
      </w:pPr>
      <w:r>
        <w:t xml:space="preserve">5. Testing and Validation</w:t>
      </w:r>
    </w:p>
    <w:p>
      <w:pPr>
        <w:spacing w:after="200"/>
      </w:pPr>
      <w:r>
        <w:t xml:space="preserve">All normal and high-risk changes must be tested in a non-production environment that mirrors the production environment. Testing must validate that the change achieves the intended objective and does not introduce new issues. Test results and sign-off from the test team must be documented before implementation approval. UAT (User Acceptance Testing) is required for business-facing system changes.</w:t>
      </w:r>
    </w:p>
    <w:p>
      <w:pPr>
        <w:pStyle w:val="Heading1"/>
        <w:spacing w:before="300" w:after="200"/>
      </w:pPr>
      <w:r>
        <w:t xml:space="preserve">6. Implementation</w:t>
      </w:r>
    </w:p>
    <w:p>
      <w:pPr>
        <w:pStyle w:val="Heading2"/>
        <w:spacing w:before="200" w:after="150"/>
      </w:pPr>
      <w:r>
        <w:t xml:space="preserve">6.1 Implementation Window</w:t>
      </w:r>
    </w:p>
    <w:p>
      <w:pPr>
        <w:spacing w:after="200"/>
      </w:pPr>
      <w:r>
        <w:t xml:space="preserve">Normal and high-risk changes must be implemented during scheduled change windows: Tuesday to Thursday, 21:00 to 23:59 AEST. Changes affecting critical claims systems cannot be implemented on Friday or the day before a public holiday. Standard changes may be implemented anytime with IT Manager approval.</w:t>
      </w:r>
    </w:p>
    <w:p>
      <w:pPr>
        <w:pStyle w:val="Heading2"/>
        <w:spacing w:before="200" w:after="150"/>
      </w:pPr>
      <w:r>
        <w:t xml:space="preserve">6.2 Change Coordinator</w:t>
      </w:r>
    </w:p>
    <w:p>
      <w:pPr>
        <w:spacing w:after="200"/>
      </w:pPr>
      <w:r>
        <w:t xml:space="preserve">Each change must have a designated Change Coordinator responsible for coordinating implementation activities and communicating with stakeholders. The Coordinator ensures all steps are completed as documented and monitors for issues during and after implementation.</w:t>
      </w:r>
    </w:p>
    <w:p>
      <w:pPr>
        <w:pStyle w:val="Heading2"/>
        <w:spacing w:before="200" w:after="150"/>
      </w:pPr>
      <w:r>
        <w:t xml:space="preserve">6.3 Communications</w:t>
      </w:r>
    </w:p>
    <w:p>
      <w:pPr>
        <w:spacing w:after="200"/>
      </w:pPr>
      <w:r>
        <w:t xml:space="preserve">Stakeholders (business units, helpdesk, management) must be notified of all changes before implementation. Notifications include estimated downtime, impact on services, and contact information for support. Post-implementation notification confirms completion and any issues discovered.</w:t>
      </w:r>
    </w:p>
    <w:p>
      <w:pPr>
        <w:pStyle w:val="Heading1"/>
        <w:spacing w:before="300" w:after="200"/>
      </w:pPr>
      <w:r>
        <w:t xml:space="preserve">7. Rollback Procedures</w:t>
      </w:r>
    </w:p>
    <w:p>
      <w:pPr>
        <w:spacing w:after="200"/>
      </w:pPr>
      <w:r>
        <w:t xml:space="preserve">If a change does not achieve its objectives, introduces critical issues, or causes unplanned downtime exceeding 30 minutes, rollback to the previous state must be initiated. Rollback must follow the documented rollback procedure and requires approval from the Change Coordinator and CIO (for high-risk changes). Rollback is treated as a standard change. Post-rollback, the root cause is analyzed and corrective actions documented before the change can be re-submitted.</w:t>
      </w:r>
    </w:p>
    <w:p>
      <w:pPr>
        <w:pStyle w:val="Heading1"/>
        <w:spacing w:before="300" w:after="200"/>
      </w:pPr>
      <w:r>
        <w:t xml:space="preserve">8. Post-Implementation Review</w:t>
      </w:r>
    </w:p>
    <w:p>
      <w:pPr>
        <w:spacing w:after="200"/>
      </w:pPr>
      <w:r>
        <w:t xml:space="preserve">All normal and high-risk changes undergo post-implementation review (PIR) within 5 business days. The PIR determines if the change met objectives, identifies lessons learned, and documents actual downtime and costs. High-risk changes are reviewed by the CAB. Results are recorded in the change management system.</w:t>
      </w:r>
    </w:p>
    <w:p>
      <w:pPr>
        <w:pStyle w:val="Heading1"/>
        <w:spacing w:before="300" w:after="200"/>
      </w:pPr>
      <w:r>
        <w:t xml:space="preserve">9. Change Record and Audit</w:t>
      </w:r>
    </w:p>
    <w:p>
      <w:pPr>
        <w:spacing w:after="200"/>
      </w:pPr>
      <w:r>
        <w:t xml:space="preserve">All changes are recorded in the IT Service Management system with full documentation of request, approvals, implementation details, and outcomes. Records are retained for 3 years. An audit trail logs all user actions in the system. Monthly reports are provided to the CIO summarizing change activity, success rates, and rollbacks.</w:t>
      </w:r>
    </w:p>
    <w:p>
      <w:pPr>
        <w:pStyle w:val="Heading1"/>
        <w:spacing w:before="300" w:after="200"/>
      </w:pPr>
      <w:r>
        <w:t xml:space="preserve">10. Compliance and Non-Compliance</w:t>
      </w:r>
    </w:p>
    <w:p>
      <w:pPr>
        <w:spacing w:after="200"/>
      </w:pPr>
      <w:r>
        <w:t xml:space="preserve">Implementation of unapproved changes or circumventing this process is strictly prohibited. Unauthorized changes may be immediately rolled back without warning. Employees implementing unauthorized changes will be subject to disciplinary action including potential termination.</w:t>
      </w:r>
    </w:p>
    <w:p>
      <w:pPr>
        <w:pStyle w:val="Heading1"/>
        <w:spacing w:before="300" w:after="200"/>
      </w:pPr>
      <w:r>
        <w:t xml:space="preserve">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E7E6E6" w:val="clear"/>
          </w:tcPr>
          <w:p>
            <w:r>
              <w:t xml:space="preserve">Version</w:t>
            </w:r>
          </w:p>
        </w:tc>
        <w:tc>
          <w:tcPr>
            <w:tcW w:type="dxa" w:w="2500"/>
            <w:shd w:fill="E7E6E6" w:val="clear"/>
          </w:tcPr>
          <w:p>
            <w:r>
              <w:t xml:space="preserve">Date</w:t>
            </w:r>
          </w:p>
        </w:tc>
        <w:tc>
          <w:tcPr>
            <w:tcW w:type="dxa" w:w="2500"/>
            <w:shd w:fill="E7E6E6" w:val="clear"/>
          </w:tcPr>
          <w:p>
            <w:r>
              <w:t xml:space="preserve">Author</w:t>
            </w:r>
          </w:p>
        </w:tc>
        <w:tc>
          <w:tcPr>
            <w:tcW w:type="dxa" w:w="3500"/>
            <w:shd w:fill="E7E6E6" w:val="clear"/>
          </w:tcPr>
          <w:p>
            <w:r>
              <w:t xml:space="preserve">Changes</w:t>
            </w:r>
          </w:p>
        </w:tc>
      </w:tr>
      <w:tr>
        <w:tc>
          <w:tcPr>
            <w:tcW w:type="dxa" w:w="1500"/>
          </w:tcPr>
          <w:p>
            <w:r>
              <w:t xml:space="preserve">1.0</w:t>
            </w:r>
          </w:p>
        </w:tc>
        <w:tc>
          <w:tcPr>
            <w:tcW w:type="dxa" w:w="2500"/>
          </w:tcPr>
          <w:p>
            <w:r>
              <w:t xml:space="preserve">12 Feb 2024</w:t>
            </w:r>
          </w:p>
        </w:tc>
        <w:tc>
          <w:tcPr>
            <w:tcW w:type="dxa" w:w="2500"/>
          </w:tcPr>
          <w:p>
            <w:r>
              <w:t xml:space="preserve">S. Williams</w:t>
            </w:r>
          </w:p>
        </w:tc>
        <w:tc>
          <w:tcPr>
            <w:tcW w:type="dxa" w:w="3500"/>
          </w:tcPr>
          <w:p>
            <w:r>
              <w:t xml:space="preserve">Initial release</w:t>
            </w:r>
          </w:p>
        </w:tc>
      </w:tr>
      <w:tr>
        <w:tc>
          <w:tcPr>
            <w:tcW w:type="dxa" w:w="1500"/>
          </w:tcPr>
          <w:p>
            <w:r>
              <w:t xml:space="preserve">1.1</w:t>
            </w:r>
          </w:p>
        </w:tc>
        <w:tc>
          <w:tcPr>
            <w:tcW w:type="dxa" w:w="2500"/>
          </w:tcPr>
          <w:p>
            <w:r>
              <w:t xml:space="preserve">28 Mar 2024</w:t>
            </w:r>
          </w:p>
        </w:tc>
        <w:tc>
          <w:tcPr>
            <w:tcW w:type="dxa" w:w="2500"/>
          </w:tcPr>
          <w:p>
            <w:r>
              <w:t xml:space="preserve">S. Williams</w:t>
            </w:r>
          </w:p>
        </w:tc>
        <w:tc>
          <w:tcPr>
            <w:tcW w:type="dxa" w:w="3500"/>
          </w:tcPr>
          <w:p>
            <w:r>
              <w:t xml:space="preserve">Added change window times</w:t>
            </w:r>
          </w:p>
        </w:tc>
      </w:tr>
      <w:tr>
        <w:tc>
          <w:tcPr>
            <w:tcW w:type="dxa" w:w="1500"/>
          </w:tcPr>
          <w:p>
            <w:r>
              <w:t xml:space="preserve">1.4</w:t>
            </w:r>
          </w:p>
        </w:tc>
        <w:tc>
          <w:tcPr>
            <w:tcW w:type="dxa" w:w="2500"/>
          </w:tcPr>
          <w:p>
            <w:r>
              <w:t xml:space="preserve">28 Jun 2025</w:t>
            </w:r>
          </w:p>
        </w:tc>
        <w:tc>
          <w:tcPr>
            <w:tcW w:type="dxa" w:w="2500"/>
          </w:tcPr>
          <w:p>
            <w:r>
              <w:t xml:space="preserve">D. Chen</w:t>
            </w:r>
          </w:p>
        </w:tc>
        <w:tc>
          <w:tcPr>
            <w:tcW w:type="dxa" w:w="3500"/>
          </w:tcPr>
          <w:p>
            <w:r>
              <w:t xml:space="preserve">Streamlined approval process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Page </w:t>
    </w:r>
    <w:r>
      <CURRENT>CURRENT</CURR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Pr>
        <w:p>
          <w:r>
            <w:t xml:space="preserve">HorseInsure Pty Ltd</w:t>
          </w:r>
        </w:p>
        <w:p>
          <w:r>
            <w:t xml:space="preserve">ABN 41 209 837 156</w:t>
          </w:r>
        </w:p>
      </w:tc>
      <w:tc>
        <w:tcPr>
          <w:tcW w:type="dxa" w:w="3000"/>
        </w:tcPr>
        <w:p>
          <w:pPr>
            <w:jc w:val="right"/>
          </w:pPr>
          <w:r>
            <w:t xml:space="preserve">Change Management Policy</w:t>
          </w:r>
        </w:p>
        <w:p>
          <w:pPr>
            <w:jc w:val="right"/>
          </w:pPr>
          <w:r>
            <w:t xml:space="preserve">POL-011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2026-02-15T07:24:10.725Z</dcterms:created>
  <dcterms:modified xsi:type="dcterms:W3CDTF">2026-02-15T07:24:10.726Z</dcterms:modified>
</cp:coreProperties>
</file>

<file path=docProps/custom.xml><?xml version="1.0" encoding="utf-8"?>
<Properties xmlns="http://schemas.openxmlformats.org/officeDocument/2006/custom-properties" xmlns:vt="http://schemas.openxmlformats.org/officeDocument/2006/docPropsVTypes"/>
</file>