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CRYPTOGRAPHY AND KEY MANAGEMENT POLICY</w:t>
      </w:r>
    </w:p>
    <w:p>
      <w:pPr>
        <w:pStyle w:val="Heading1"/>
        <w:spacing w:before="200" w:after="200"/>
      </w:pPr>
      <w:r>
        <w:t xml:space="preserve">Policy Control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000"/>
            <w:shd w:fill="E7E6E6" w:val="clear"/>
          </w:tcPr>
          <w:p>
            <w:r>
              <w:t xml:space="preserve">Document ID</w:t>
            </w:r>
          </w:p>
        </w:tc>
        <w:tc>
          <w:tcPr>
            <w:tcW w:type="dxa" w:w="4000"/>
          </w:tcPr>
          <w:p>
            <w:r>
              <w:t xml:space="preserve">POL-012</w:t>
            </w:r>
          </w:p>
        </w:tc>
        <w:tc>
          <w:tcPr>
            <w:tcW w:type="dxa" w:w="2000"/>
            <w:shd w:fill="E7E6E6" w:val="clear"/>
          </w:tcPr>
          <w:p>
            <w:r>
              <w:t xml:space="preserve">Version</w:t>
            </w:r>
          </w:p>
        </w:tc>
        <w:tc>
          <w:tcPr>
            <w:tcW w:type="dxa" w:w="4000"/>
          </w:tcPr>
          <w:p>
            <w:r>
              <w:t xml:space="preserve">1.0</w:t>
            </w:r>
          </w:p>
        </w:tc>
      </w:tr>
      <w:tr>
        <w:tc>
          <w:tcPr>
            <w:tcW w:type="dxa" w:w="2000"/>
            <w:shd w:fill="E7E6E6" w:val="clear"/>
          </w:tcPr>
          <w:p>
            <w:r>
              <w:t xml:space="preserve">Policy Owner</w:t>
            </w:r>
          </w:p>
        </w:tc>
        <w:tc>
          <w:tcPr>
            <w:tcW w:type="dxa" w:w="4000"/>
          </w:tcPr>
          <w:p>
            <w:r>
              <w:t xml:space="preserve">Marcus Lee, IT Security Analyst</w:t>
            </w:r>
          </w:p>
        </w:tc>
        <w:tc>
          <w:tcPr>
            <w:tcW w:type="dxa" w:w="2000"/>
            <w:shd w:fill="E7E6E6" w:val="clear"/>
          </w:tcPr>
          <w:p>
            <w:r>
              <w:t xml:space="preserve">Approved By</w:t>
            </w:r>
          </w:p>
        </w:tc>
        <w:tc>
          <w:tcPr>
            <w:tcW w:type="dxa" w:w="4000"/>
          </w:tcPr>
          <w:p>
            <w:r>
              <w:t xml:space="preserve">David Chen, CIO/CISO</w:t>
            </w:r>
          </w:p>
        </w:tc>
      </w:tr>
      <w:tr>
        <w:tc>
          <w:tcPr>
            <w:tcW w:type="dxa" w:w="2000"/>
            <w:shd w:fill="E7E6E6" w:val="clear"/>
          </w:tcPr>
          <w:p>
            <w:r>
              <w:t xml:space="preserve">Approval Date</w:t>
            </w:r>
          </w:p>
        </w:tc>
        <w:tc>
          <w:tcPr>
            <w:tcW w:type="dxa" w:w="4000"/>
          </w:tcPr>
          <w:p>
            <w:r>
              <w:t xml:space="preserve">14 October 2025</w:t>
            </w:r>
          </w:p>
        </w:tc>
        <w:tc>
          <w:tcPr>
            <w:tcW w:type="dxa" w:w="2000"/>
            <w:shd w:fill="E7E6E6" w:val="clear"/>
          </w:tcPr>
          <w:p>
            <w:r>
              <w:t xml:space="preserve">Next Review</w:t>
            </w:r>
          </w:p>
        </w:tc>
        <w:tc>
          <w:tcPr>
            <w:tcW w:type="dxa" w:w="4000"/>
          </w:tcPr>
          <w:p>
            <w:r>
              <w:t xml:space="preserve">14 October 2026</w:t>
            </w:r>
          </w:p>
        </w:tc>
      </w:tr>
    </w:tbl>
    <w:p>
      <w:pPr>
        <w:pStyle w:val="Heading1"/>
        <w:spacing w:before="300" w:after="200"/>
      </w:pPr>
      <w:r>
        <w:t xml:space="preserve">1. Purpose</w:t>
      </w:r>
    </w:p>
    <w:p>
      <w:pPr>
        <w:spacing w:after="200"/>
      </w:pPr>
      <w:r>
        <w:t xml:space="preserve">This policy establishes requirements for the use of cryptography and management of cryptographic keys at HorseInsure. Encryption protects sensitive information in transit and at rest, ensuring confidentiality and integrity of policyholder data, claims information, and other critical business information.</w:t>
      </w:r>
    </w:p>
    <w:p>
      <w:pPr>
        <w:pStyle w:val="Heading1"/>
        <w:spacing w:before="300" w:after="200"/>
      </w:pPr>
      <w:r>
        <w:t xml:space="preserve">2. Scope</w:t>
      </w:r>
    </w:p>
    <w:p>
      <w:pPr>
        <w:spacing w:after="200"/>
      </w:pPr>
      <w:r>
        <w:t xml:space="preserve">This policy applies to all uses of encryption across HorseInsure systems and infrastructure. This includes data encryption in transit (network communications, VPN, email), data encryption at rest (databases, backups, file storage), and encryption keys used for these purposes. All employees and contractors responsible for cryptographic systems must comply with this policy.</w:t>
      </w:r>
    </w:p>
    <w:p>
      <w:pPr>
        <w:pStyle w:val="Heading1"/>
        <w:spacing w:before="300" w:after="200"/>
      </w:pPr>
      <w:r>
        <w:t xml:space="preserve">3. Encryption Standards</w:t>
      </w:r>
    </w:p>
    <w:p>
      <w:pPr>
        <w:pStyle w:val="Heading2"/>
        <w:spacing w:before="200" w:after="150"/>
      </w:pPr>
      <w:r>
        <w:t xml:space="preserve">3.1 Data in Transit</w:t>
      </w:r>
    </w:p>
    <w:p>
      <w:pPr>
        <w:spacing w:after="200"/>
      </w:pPr>
      <w:r>
        <w:t xml:space="preserve">All transmission of sensitive data across networks must use TLS 1.2 or higher for web communications. VPN connections must use AES-256 or equivalent encryption. Email containing sensitive information must be encrypted using S/MIME or PGP with RSA 2048-bit keys minimum. All internal systems must use HTTPS for web interfaces.</w:t>
      </w:r>
    </w:p>
    <w:p>
      <w:pPr>
        <w:pStyle w:val="Heading2"/>
        <w:spacing w:before="200" w:after="150"/>
      </w:pPr>
      <w:r>
        <w:t xml:space="preserve">3.2 Data at Rest</w:t>
      </w:r>
    </w:p>
    <w:p>
      <w:pPr>
        <w:spacing w:after="200"/>
      </w:pPr>
      <w:r>
        <w:t xml:space="preserve">All databases containing sensitive information must be encrypted using AES-256 encryption. Full disk encryption is required on all laptops and mobile devices using BitLocker (Windows) or FileVault (Mac). Database backups must be encrypted separately from the backup storage system.</w:t>
      </w:r>
    </w:p>
    <w:p>
      <w:pPr>
        <w:pStyle w:val="Heading2"/>
        <w:spacing w:before="200" w:after="150"/>
      </w:pPr>
      <w:r>
        <w:t xml:space="preserve">3.3 Algorithm Selection</w:t>
      </w:r>
    </w:p>
    <w:p>
      <w:pPr>
        <w:spacing w:after="200"/>
      </w:pPr>
      <w:r>
        <w:t xml:space="preserve">Only approved cryptographic algorithms may be used. Approved symmetric encryption algorithms include AES (128, 192, 256-bit keys). Approved asymmetric algorithms include RSA (2048-bit minimum), ECC (256-bit minimum). Deprecated algorithms including DES, MD5, and SHA-1 are prohibited.</w:t>
      </w:r>
    </w:p>
    <w:p>
      <w:r>
        <w:t xml:space="preserve">Page break</w:t>
      </w:r>
      <w:r>
        <w:br w:type="page"/>
      </w:r>
    </w:p>
    <w:p>
      <w:pPr>
        <w:pStyle w:val="Heading1"/>
        <w:spacing w:before="300" w:after="200"/>
      </w:pPr>
      <w:r>
        <w:t xml:space="preserve">4. Cryptographic Key Management</w:t>
      </w:r>
    </w:p>
    <w:p>
      <w:pPr>
        <w:pStyle w:val="Heading2"/>
        <w:spacing w:before="200" w:after="150"/>
      </w:pPr>
      <w:r>
        <w:t xml:space="preserve">4.1 Key Generation</w:t>
      </w:r>
    </w:p>
    <w:p>
      <w:pPr>
        <w:spacing w:after="200"/>
      </w:pPr>
      <w:r>
        <w:t xml:space="preserve">All cryptographic keys are generated using secure random number generators. Key generation procedures must be documented and implemented by qualified IT personnel only. Key generation occurs in secure environments isolated from production systems.</w:t>
      </w:r>
    </w:p>
    <w:p>
      <w:pPr>
        <w:pStyle w:val="Heading2"/>
        <w:spacing w:before="200" w:after="150"/>
      </w:pPr>
      <w:r>
        <w:t xml:space="preserve">4.2 Key Storage</w:t>
      </w:r>
    </w:p>
    <w:p>
      <w:pPr>
        <w:spacing w:after="200"/>
      </w:pPr>
      <w:r>
        <w:t xml:space="preserve">Cryptographic keys are stored in secure hardware security modules (HSM) or key management services. Keys are not stored in plain text or unencrypted files. Access to keys is restricted to authorized personnel through role-based access control. Key storage locations are physically and logically protected.</w:t>
      </w:r>
    </w:p>
    <w:p>
      <w:pPr>
        <w:pStyle w:val="Heading1"/>
        <w:spacing w:before="300" w:after="200"/>
      </w:pPr>
      <w:r>
        <w:t xml:space="preserve">5. Certificate Management</w:t>
      </w:r>
    </w:p>
    <w:p>
      <w:pPr>
        <w:pStyle w:val="Heading2"/>
        <w:spacing w:before="200" w:after="150"/>
      </w:pPr>
      <w:r>
        <w:t xml:space="preserve">5.1 Digital Certificates</w:t>
      </w:r>
    </w:p>
    <w:p>
      <w:pPr>
        <w:spacing w:after="200"/>
      </w:pPr>
      <w:r>
        <w:t xml:space="preserve">HorseInsure uses X.509 digital certificates issued by trusted certificate authorities. All public web interfaces use valid SSL/TLS certificates. Certificates are obtained from well-known CAs such as DigiCert, Sectigo, or AWS Certificate Manager.</w:t>
      </w:r>
    </w:p>
    <w:p>
      <w:pPr>
        <w:pStyle w:val="Heading2"/>
        <w:spacing w:before="200" w:after="150"/>
      </w:pPr>
      <w:r>
        <w:t xml:space="preserve">5.2 Certificate Lifecycle</w:t>
      </w:r>
    </w:p>
    <w:p>
      <w:pPr>
        <w:spacing w:after="200"/>
      </w:pPr>
      <w:r>
        <w:t xml:space="preserve">All SSL/TLS certificates have a maximum validity period of one year. Certificate renewal is initiated 90 days before expiration. Expired certificates are immediately revoked and removed from use. A certificate inventory is maintained with expiration dates and renewal status.</w:t>
      </w:r>
    </w:p>
    <w:p>
      <w:pPr>
        <w:pStyle w:val="Heading2"/>
        <w:spacing w:before="200" w:after="150"/>
      </w:pPr>
      <w:r>
        <w:t xml:space="preserve">5.3 Certificate Revocation</w:t>
      </w:r>
    </w:p>
    <w:p>
      <w:pPr>
        <w:spacing w:after="200"/>
      </w:pPr>
      <w:r>
        <w:t xml:space="preserve">Compromised certificates are immediately revoked by contacting the issuing CA and requesting revocation through CRL or OCSP mechanisms. Certificate revocation is verified within one hour of discovery. Users and systems are notified of revocation.</w:t>
      </w:r>
    </w:p>
    <w:p>
      <w:pPr>
        <w:pStyle w:val="Heading1"/>
        <w:spacing w:before="300" w:after="200"/>
      </w:pPr>
      <w:r>
        <w:t xml:space="preserve">6. Key Destruction</w:t>
      </w:r>
    </w:p>
    <w:p>
      <w:pPr>
        <w:spacing w:after="200"/>
      </w:pPr>
      <w:r>
        <w:t xml:space="preserve">Keys no longer needed for business purposes are securely destroyed. Hardware containing keys is securely erased or physically destroyed. A record is maintained documenting the date, method, and authorization for key destruction.</w:t>
      </w:r>
    </w:p>
    <w:p>
      <w:pPr>
        <w:pStyle w:val="Heading1"/>
        <w:spacing w:before="300" w:after="200"/>
      </w:pPr>
      <w:r>
        <w:t xml:space="preserve">7. Backup and Recovery</w:t>
      </w:r>
    </w:p>
    <w:p>
      <w:pPr>
        <w:spacing w:after="200"/>
      </w:pPr>
      <w:r>
        <w:t xml:space="preserve">Critical encryption keys are backed up to support disaster recovery. Backups are encrypted and stored in geographically separate locations. Recovery procedures are tested quarterly. Only authorized disaster recovery personnel can access backup keys.</w:t>
      </w:r>
    </w:p>
    <w:p>
      <w:pPr>
        <w:pStyle w:val="Heading1"/>
        <w:spacing w:before="300" w:after="200"/>
      </w:pPr>
      <w:r>
        <w:t xml:space="preserve">8. Compliance and Auditing</w:t>
      </w:r>
    </w:p>
    <w:p>
      <w:pPr>
        <w:spacing w:after="200"/>
      </w:pPr>
      <w:r>
        <w:t xml:space="preserve">Cryptographic controls are audited quarterly to ensure compliance with this policy. Key usage logs are reviewed for anomalies. Annual penetration testing validates encryption effectiveness. Non-compliance is reported to the CIO and remediated immediately.</w:t>
      </w:r>
    </w:p>
    <w:p>
      <w:pPr>
        <w:pStyle w:val="Heading1"/>
        <w:spacing w:before="300" w:after="200"/>
      </w:pPr>
      <w:r>
        <w:t xml:space="preserve">9. Training and Awareness</w:t>
      </w:r>
    </w:p>
    <w:p>
      <w:pPr>
        <w:spacing w:after="200"/>
      </w:pPr>
      <w:r>
        <w:t xml:space="preserve">IT personnel responsible for cryptographic systems must complete annual training on cryptography best practices and key management procedures. All employees are aware that encryption is mandatory for sensitive data.</w:t>
      </w:r>
    </w:p>
    <w:p>
      <w:pPr>
        <w:pStyle w:val="Heading1"/>
        <w:spacing w:before="300" w:after="200"/>
      </w:pPr>
      <w:r>
        <w:t xml:space="preserve">Document History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1500"/>
            <w:shd w:fill="E7E6E6" w:val="clear"/>
          </w:tcPr>
          <w:p>
            <w:r>
              <w:t xml:space="preserve">Version</w:t>
            </w:r>
          </w:p>
        </w:tc>
        <w:tc>
          <w:tcPr>
            <w:tcW w:type="dxa" w:w="2500"/>
            <w:shd w:fill="E7E6E6" w:val="clear"/>
          </w:tcPr>
          <w:p>
            <w:r>
              <w:t xml:space="preserve">Date</w:t>
            </w:r>
          </w:p>
        </w:tc>
        <w:tc>
          <w:tcPr>
            <w:tcW w:type="dxa" w:w="2500"/>
            <w:shd w:fill="E7E6E6" w:val="clear"/>
          </w:tcPr>
          <w:p>
            <w:r>
              <w:t xml:space="preserve">Author</w:t>
            </w:r>
          </w:p>
        </w:tc>
        <w:tc>
          <w:tcPr>
            <w:tcW w:type="dxa" w:w="3500"/>
            <w:shd w:fill="E7E6E6" w:val="clear"/>
          </w:tcPr>
          <w:p>
            <w:r>
              <w:t xml:space="preserve">Changes</w:t>
            </w:r>
          </w:p>
        </w:tc>
      </w:tr>
      <w:tr>
        <w:tc>
          <w:tcPr>
            <w:tcW w:type="dxa" w:w="1500"/>
          </w:tcPr>
          <w:p>
            <w:r>
              <w:t xml:space="preserve">1.0</w:t>
            </w:r>
          </w:p>
        </w:tc>
        <w:tc>
          <w:tcPr>
            <w:tcW w:type="dxa" w:w="2500"/>
          </w:tcPr>
          <w:p>
            <w:r>
              <w:t xml:space="preserve">14 Oct 2025</w:t>
            </w:r>
          </w:p>
        </w:tc>
        <w:tc>
          <w:tcPr>
            <w:tcW w:type="dxa" w:w="2500"/>
          </w:tcPr>
          <w:p>
            <w:r>
              <w:t xml:space="preserve">M. Lee</w:t>
            </w:r>
          </w:p>
        </w:tc>
        <w:tc>
          <w:tcPr>
            <w:tcW w:type="dxa" w:w="3500"/>
          </w:tcPr>
          <w:p>
            <w:r>
              <w:t xml:space="preserve">Initial release</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Page </w:t>
    </w:r>
    <w:r>
      <CURRENT>CURRENT</CURR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000"/>
        </w:tcPr>
        <w:p>
          <w:r>
            <w:t xml:space="preserve">HorseInsure Pty Ltd</w:t>
          </w:r>
        </w:p>
        <w:p>
          <w:r>
            <w:t xml:space="preserve">ABN 41 209 837 156</w:t>
          </w:r>
        </w:p>
      </w:tc>
      <w:tc>
        <w:tcPr>
          <w:tcW w:type="dxa" w:w="3000"/>
        </w:tcPr>
        <w:p>
          <w:pPr>
            <w:jc w:val="right"/>
          </w:pPr>
          <w:r>
            <w:t xml:space="preserve">Cryptography &amp; Key Mgmt</w:t>
          </w:r>
        </w:p>
        <w:p>
          <w:pPr>
            <w:jc w:val="right"/>
          </w:pPr>
          <w:r>
            <w:t xml:space="preserve">POL-012</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2026-02-15T07:24:40.871Z</dcterms:created>
  <dcterms:modified xsi:type="dcterms:W3CDTF">2026-02-15T07:24:40.871Z</dcterms:modified>
</cp:coreProperties>
</file>

<file path=docProps/custom.xml><?xml version="1.0" encoding="utf-8"?>
<Properties xmlns="http://schemas.openxmlformats.org/officeDocument/2006/custom-properties" xmlns:vt="http://schemas.openxmlformats.org/officeDocument/2006/docPropsVTypes"/>
</file>