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2E75B6"/>
          <w:sz w:val="36"/>
        </w:rPr>
        <w:t>InvenTag Demo Corporation</w:t>
      </w:r>
    </w:p>
    <w:p>
      <w:pPr>
        <w:pStyle w:val="Heading1"/>
        <w:jc w:val="center"/>
      </w:pPr>
      <w:r>
        <w:rPr>
          <w:color w:val="2E75B6"/>
        </w:rPr>
        <w:t>Cloud Bill of Materials Report</w:t>
      </w:r>
    </w:p>
    <w:p/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3600"/>
      </w:tblGrid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Generated Date: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sz w:val="22"/>
              </w:rPr>
              <w:t>2025-08-01T01:57:27.355283+00:00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Total Resources: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sz w:val="22"/>
              </w:rPr>
              <w:t>5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Processing Time: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sz w:val="22"/>
              </w:rPr>
              <w:t>2.80 seconds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b/>
                <w:sz w:val="22"/>
              </w:rPr>
              <w:t>Report Version: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sz w:val="22"/>
              </w:rPr>
              <w:t>1.0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2E75B6"/>
        </w:rPr>
        <w:t>Table of Contents</w:t>
      </w:r>
    </w:p>
    <w:p>
      <w:r>
        <w:rPr>
          <w:sz w:val="22"/>
        </w:rPr>
        <w:t>• Executive Summary</w:t>
      </w:r>
    </w:p>
    <w:p>
      <w:r>
        <w:rPr>
          <w:sz w:val="22"/>
        </w:rPr>
        <w:t>• Service Resources</w:t>
      </w:r>
    </w:p>
    <w:p>
      <w:r>
        <w:rPr>
          <w:sz w:val="22"/>
        </w:rPr>
        <w:t>• Network Analysis</w:t>
      </w:r>
    </w:p>
    <w:p>
      <w:r>
        <w:rPr>
          <w:sz w:val="22"/>
        </w:rPr>
        <w:t>• Security Analysis</w:t>
      </w:r>
    </w:p>
    <w:p>
      <w:r>
        <w:rPr>
          <w:sz w:val="22"/>
        </w:rPr>
        <w:t>• Compliance Details</w:t>
      </w:r>
    </w:p>
    <w:p>
      <w:r>
        <w:rPr>
          <w:sz w:val="22"/>
        </w:rPr>
        <w:t>• Appendices</w:t>
      </w:r>
    </w:p>
    <w:p>
      <w:r>
        <w:br w:type="page"/>
      </w:r>
    </w:p>
    <w:p>
      <w:pPr>
        <w:pStyle w:val="Heading1"/>
      </w:pPr>
      <w:r>
        <w:rPr>
          <w:color w:val="2E75B6"/>
        </w:rPr>
        <w:t>Executive Summary</w:t>
      </w:r>
    </w:p>
    <w:p>
      <w:r>
        <w:rPr>
          <w:sz w:val="22"/>
        </w:rPr>
        <w:t>This Cloud Bill of Materials (BOM) report provides a comprehensive analysis of AWS resources across the InvenTag Demo Corporation infrastructure. The report covers 5 resources and includes compliance analysis, network security assessment, and operational recommendations.</w:t>
      </w:r>
    </w:p>
    <w:p>
      <w:pPr>
        <w:pStyle w:val="Heading2"/>
      </w:pPr>
      <w:r>
        <w:t>Compliance 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2"/>
              </w:rPr>
              <w:t>Total Resources</w:t>
            </w:r>
          </w:p>
        </w:tc>
        <w:tc>
          <w:tcPr>
            <w:tcW w:type="dxa" w:w="4320"/>
          </w:tcPr>
          <w:p>
            <w:r>
              <w:rPr>
                <w:sz w:val="22"/>
              </w:rP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Compliant Resources</w:t>
            </w:r>
          </w:p>
        </w:tc>
        <w:tc>
          <w:tcPr>
            <w:tcW w:type="dxa" w:w="4320"/>
          </w:tcPr>
          <w:p>
            <w:r>
              <w:rPr>
                <w:color w:val="70AD47"/>
                <w:sz w:val="22"/>
              </w:rPr>
              <w:t>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Non-Compliant Resources</w:t>
            </w:r>
          </w:p>
        </w:tc>
        <w:tc>
          <w:tcPr>
            <w:tcW w:type="dxa" w:w="4320"/>
          </w:tcPr>
          <w:p>
            <w:r>
              <w:rPr>
                <w:color w:val="C5504B"/>
                <w:sz w:val="22"/>
              </w:rP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2"/>
              </w:rPr>
              <w:t>Compliance Percentage</w:t>
            </w:r>
          </w:p>
        </w:tc>
        <w:tc>
          <w:tcPr>
            <w:tcW w:type="dxa" w:w="4320"/>
          </w:tcPr>
          <w:p>
            <w:r>
              <w:rPr>
                <w:sz w:val="22"/>
              </w:rPr>
              <w:t>60.0%</w:t>
            </w:r>
          </w:p>
        </w:tc>
      </w:tr>
    </w:tbl>
    <w:p>
      <w:pPr>
        <w:pStyle w:val="Heading2"/>
      </w:pPr>
      <w:r>
        <w:t>Service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2E75B6"/>
                <w:sz w:val="22"/>
              </w:rPr>
              <w:t>Service</w:t>
            </w:r>
          </w:p>
        </w:tc>
        <w:tc>
          <w:tcPr>
            <w:tcW w:type="dxa" w:w="2880"/>
          </w:tcPr>
          <w:p>
            <w:r>
              <w:rPr>
                <w:b/>
                <w:color w:val="2E75B6"/>
                <w:sz w:val="22"/>
              </w:rPr>
              <w:t>Resource Count</w:t>
            </w:r>
          </w:p>
        </w:tc>
        <w:tc>
          <w:tcPr>
            <w:tcW w:type="dxa" w:w="2880"/>
          </w:tcPr>
          <w:p>
            <w:r>
              <w:rPr>
                <w:b/>
                <w:color w:val="2E75B6"/>
                <w:sz w:val="22"/>
              </w:rPr>
              <w:t>Percentage</w:t>
            </w:r>
          </w:p>
        </w:tc>
      </w:tr>
      <w:tr>
        <w:tc>
          <w:tcPr>
            <w:tcW w:type="dxa" w:w="2880"/>
          </w:tcPr>
          <w:p>
            <w:r>
              <w:rPr>
                <w:sz w:val="22"/>
              </w:rPr>
              <w:t>EC2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20.0%</w:t>
            </w:r>
          </w:p>
        </w:tc>
      </w:tr>
      <w:tr>
        <w:tc>
          <w:tcPr>
            <w:tcW w:type="dxa" w:w="2880"/>
          </w:tcPr>
          <w:p>
            <w:r>
              <w:rPr>
                <w:sz w:val="22"/>
              </w:rPr>
              <w:t>LAMBDA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20.0%</w:t>
            </w:r>
          </w:p>
        </w:tc>
      </w:tr>
      <w:tr>
        <w:tc>
          <w:tcPr>
            <w:tcW w:type="dxa" w:w="2880"/>
          </w:tcPr>
          <w:p>
            <w:r>
              <w:rPr>
                <w:sz w:val="22"/>
              </w:rPr>
              <w:t>RDS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20.0%</w:t>
            </w:r>
          </w:p>
        </w:tc>
      </w:tr>
      <w:tr>
        <w:tc>
          <w:tcPr>
            <w:tcW w:type="dxa" w:w="2880"/>
          </w:tcPr>
          <w:p>
            <w:r>
              <w:rPr>
                <w:sz w:val="22"/>
              </w:rPr>
              <w:t>S3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20.0%</w:t>
            </w:r>
          </w:p>
        </w:tc>
      </w:tr>
      <w:tr>
        <w:tc>
          <w:tcPr>
            <w:tcW w:type="dxa" w:w="2880"/>
          </w:tcPr>
          <w:p>
            <w:r>
              <w:rPr>
                <w:sz w:val="22"/>
              </w:rPr>
              <w:t>VPC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2"/>
              </w:rPr>
              <w:t>20.0%</w:t>
            </w:r>
          </w:p>
        </w:tc>
      </w:tr>
    </w:tbl>
    <w:p>
      <w:pPr>
        <w:pStyle w:val="Heading2"/>
      </w:pPr>
      <w:r>
        <w:t>Key Findings</w:t>
      </w:r>
    </w:p>
    <w:p>
      <w:r>
        <w:rPr>
          <w:sz w:val="22"/>
        </w:rPr>
        <w:t>• Compliance rate of 60.0% requires immediate attention and remediation</w:t>
      </w:r>
    </w:p>
    <w:p>
      <w:r>
        <w:rPr>
          <w:sz w:val="22"/>
        </w:rPr>
        <w:t>• Infrastructure spans 2 VPCs requiring network optimization review</w:t>
      </w:r>
    </w:p>
    <w:p>
      <w:r>
        <w:rPr>
          <w:sz w:val="22"/>
        </w:rPr>
        <w:t>• Identified 2 high-risk security rules requiring immediate remediation</w:t>
      </w:r>
    </w:p>
    <w:p>
      <w:r>
        <w:rPr>
          <w:sz w:val="22"/>
        </w:rPr>
        <w:t>• Infrastructure utilizes 5 different AWS services</w:t>
      </w:r>
    </w:p>
    <w:p>
      <w:r>
        <w:br w:type="page"/>
      </w:r>
    </w:p>
    <w:p>
      <w:pPr>
        <w:pStyle w:val="Heading1"/>
      </w:pPr>
      <w:r>
        <w:rPr>
          <w:color w:val="2E75B6"/>
        </w:rPr>
        <w:t>Service Resources</w:t>
      </w:r>
    </w:p>
    <w:p>
      <w:pPr>
        <w:pStyle w:val="Heading2"/>
      </w:pPr>
      <w:r>
        <w:rPr>
          <w:color w:val="2E75B6"/>
        </w:rPr>
        <w:t>EC2 Resources</w:t>
      </w:r>
    </w:p>
    <w:p>
      <w:r>
        <w:rPr>
          <w:b/>
          <w:sz w:val="22"/>
        </w:rPr>
        <w:t>Total EC2 resources: 1 (Compliant: 1, Non-compliant: 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Compliance Status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Account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Vpc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Subnet Id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i-1234567890abcdef0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web-server-1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Instance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080"/>
          </w:tcPr>
          <w:p>
            <w:r>
              <w:rPr>
                <w:color w:val="70AD47"/>
                <w:sz w:val="20"/>
              </w:rPr>
              <w:t>compliant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123456789012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vpc-12345678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subnet-12345678</w:t>
            </w:r>
          </w:p>
        </w:tc>
      </w:tr>
    </w:tbl>
    <w:p/>
    <w:p>
      <w:pPr>
        <w:pStyle w:val="Heading2"/>
      </w:pPr>
      <w:r>
        <w:rPr>
          <w:color w:val="2E75B6"/>
        </w:rPr>
        <w:t>LAMBDA Resources</w:t>
      </w:r>
    </w:p>
    <w:p>
      <w:r>
        <w:rPr>
          <w:b/>
          <w:sz w:val="22"/>
        </w:rPr>
        <w:t>Total LAMBDA resources: 1 (Compliant: 1, Non-compliant: 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Compliance Status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Account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Arn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Memory Size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data-processor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data-processor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Function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080"/>
          </w:tcPr>
          <w:p>
            <w:r>
              <w:rPr>
                <w:color w:val="70AD47"/>
                <w:sz w:val="20"/>
              </w:rPr>
              <w:t>compliant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123456789012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arn:aws:lambda:us-east-1:123456789012:function:data-processor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512</w:t>
            </w:r>
          </w:p>
        </w:tc>
      </w:tr>
    </w:tbl>
    <w:p/>
    <w:p>
      <w:pPr>
        <w:pStyle w:val="Heading2"/>
      </w:pPr>
      <w:r>
        <w:rPr>
          <w:color w:val="2E75B6"/>
        </w:rPr>
        <w:t>RDS Resources</w:t>
      </w:r>
    </w:p>
    <w:p>
      <w:r>
        <w:rPr>
          <w:b/>
          <w:sz w:val="22"/>
        </w:rPr>
        <w:t>Total RDS resources: 1 (Compliant: 1, Non-compliant: 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Compliance Status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Account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Allocated Storage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Arn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production-database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production-database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DBInstance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080"/>
          </w:tcPr>
          <w:p>
            <w:r>
              <w:rPr>
                <w:color w:val="70AD47"/>
                <w:sz w:val="20"/>
              </w:rPr>
              <w:t>compliant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123456789012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arn:aws:rds:us-east-1:123456789012:db:production-database</w:t>
            </w:r>
          </w:p>
        </w:tc>
      </w:tr>
    </w:tbl>
    <w:p/>
    <w:p>
      <w:pPr>
        <w:pStyle w:val="Heading2"/>
      </w:pPr>
      <w:r>
        <w:rPr>
          <w:color w:val="2E75B6"/>
        </w:rPr>
        <w:t>S3 Resources</w:t>
      </w:r>
    </w:p>
    <w:p>
      <w:r>
        <w:rPr>
          <w:b/>
          <w:sz w:val="22"/>
        </w:rPr>
        <w:t>Total S3 resources: 1 (Compliant: 0, Non-compliant: 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Compliance Status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Account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Arn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Encryption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company-data-bucket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company-data-bucket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Bucket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080"/>
          </w:tcPr>
          <w:p>
            <w:r>
              <w:rPr>
                <w:color w:val="C5504B"/>
                <w:sz w:val="20"/>
              </w:rPr>
              <w:t>non_compliant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123456789012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arn:aws:s3:::company-data-bucket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AES256</w:t>
            </w:r>
          </w:p>
        </w:tc>
      </w:tr>
    </w:tbl>
    <w:p/>
    <w:p>
      <w:pPr>
        <w:pStyle w:val="Heading2"/>
      </w:pPr>
      <w:r>
        <w:rPr>
          <w:color w:val="2E75B6"/>
        </w:rPr>
        <w:t>VPC Resources</w:t>
      </w:r>
    </w:p>
    <w:p>
      <w:r>
        <w:rPr>
          <w:b/>
          <w:sz w:val="22"/>
        </w:rPr>
        <w:t>Total VPC resources: 1 (Compliant: 0, Non-compliant: 1)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Compliance Status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Account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Vpc Id</w:t>
            </w:r>
          </w:p>
        </w:tc>
        <w:tc>
          <w:tcPr>
            <w:tcW w:type="dxa" w:w="1080"/>
          </w:tcPr>
          <w:p>
            <w:r>
              <w:rPr>
                <w:b/>
                <w:color w:val="2E75B6"/>
                <w:sz w:val="20"/>
              </w:rPr>
              <w:t>Arn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sg-12345678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web-server-sg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SecurityGroup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080"/>
          </w:tcPr>
          <w:p>
            <w:r>
              <w:rPr>
                <w:color w:val="C5504B"/>
                <w:sz w:val="20"/>
              </w:rPr>
              <w:t>non_compliant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123456789012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vpc-12345678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arn:aws:ec2:us-east-1:123456789012:security-group/sg-12345678</w:t>
            </w:r>
          </w:p>
        </w:tc>
      </w:tr>
    </w:tbl>
    <w:p/>
    <w:p>
      <w:pPr>
        <w:pStyle w:val="Heading1"/>
      </w:pPr>
      <w:r>
        <w:rPr>
          <w:color w:val="2E75B6"/>
        </w:rPr>
        <w:t>Network Analysis</w:t>
      </w:r>
    </w:p>
    <w:p>
      <w:pPr>
        <w:pStyle w:val="Heading2"/>
      </w:pPr>
      <w:r>
        <w:t>Network Overview</w:t>
      </w:r>
    </w:p>
    <w:p>
      <w:r>
        <w:rPr>
          <w:sz w:val="22"/>
        </w:rPr>
        <w:t>The infrastructure spans 2 VPCs with 6 subnets. This section provides detailed analysis of network utilization and capacity planning.</w:t>
      </w:r>
    </w:p>
    <w:p>
      <w:pPr>
        <w:pStyle w:val="Heading2"/>
      </w:pPr>
      <w:r>
        <w:t>VPC Utilization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VPC ID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VPC Name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CIDR Block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Utilization %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Available IPs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vpc-12345678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production-vpc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10.0.0.0/16</w:t>
            </w:r>
          </w:p>
        </w:tc>
        <w:tc>
          <w:tcPr>
            <w:tcW w:type="dxa" w:w="1728"/>
          </w:tcPr>
          <w:p>
            <w:r>
              <w:rPr>
                <w:color w:val="70AD47"/>
                <w:sz w:val="20"/>
              </w:rPr>
              <w:t>35.2%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42000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vpc-87654321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development-vpc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10.1.0.0/16</w:t>
            </w:r>
          </w:p>
        </w:tc>
        <w:tc>
          <w:tcPr>
            <w:tcW w:type="dxa" w:w="1728"/>
          </w:tcPr>
          <w:p>
            <w:r>
              <w:rPr>
                <w:color w:val="70AD47"/>
                <w:sz w:val="20"/>
              </w:rPr>
              <w:t>18.7%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53000</w:t>
            </w:r>
          </w:p>
        </w:tc>
      </w:tr>
    </w:tbl>
    <w:p>
      <w:pPr>
        <w:pStyle w:val="Heading2"/>
      </w:pPr>
      <w:r>
        <w:t>Network Recommendations</w:t>
      </w:r>
    </w:p>
    <w:p>
      <w:r>
        <w:rPr>
          <w:sz w:val="22"/>
        </w:rPr>
        <w:t>• Monitor VPC utilization and plan for capacity expansion</w:t>
      </w:r>
    </w:p>
    <w:p>
      <w:r>
        <w:rPr>
          <w:sz w:val="22"/>
        </w:rPr>
        <w:t>• Review subnet allocation for optimal resource distribution</w:t>
      </w:r>
    </w:p>
    <w:p>
      <w:r>
        <w:rPr>
          <w:sz w:val="22"/>
        </w:rPr>
        <w:t>• Consider VPC peering for cross-VPC communication needs</w:t>
      </w:r>
    </w:p>
    <w:p>
      <w:r>
        <w:rPr>
          <w:sz w:val="22"/>
        </w:rPr>
        <w:t>• Implement network segmentation best practices</w:t>
      </w:r>
    </w:p>
    <w:p>
      <w:r>
        <w:rPr>
          <w:sz w:val="22"/>
        </w:rPr>
        <w:t>• Regular review of security group rules and NACLs</w:t>
      </w:r>
    </w:p>
    <w:p>
      <w:r>
        <w:br w:type="page"/>
      </w:r>
    </w:p>
    <w:p>
      <w:pPr>
        <w:pStyle w:val="Heading1"/>
      </w:pPr>
      <w:r>
        <w:rPr>
          <w:color w:val="2E75B6"/>
        </w:rPr>
        <w:t>Security Analysis</w:t>
      </w:r>
    </w:p>
    <w:p>
      <w:pPr>
        <w:pStyle w:val="Heading2"/>
      </w:pPr>
      <w:r>
        <w:t>Security Overview</w:t>
      </w:r>
    </w:p>
    <w:p>
      <w:r>
        <w:rPr>
          <w:sz w:val="22"/>
        </w:rPr>
        <w:t>Security analysis covers 12 security groups with 2 high-risk rules identified. This section provides detailed risk assessment and remediation recommendations.</w:t>
      </w:r>
    </w:p>
    <w:p>
      <w:pPr>
        <w:pStyle w:val="Heading2"/>
      </w:pPr>
      <w:r>
        <w:t>High-Risk Security Rules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2E75B6"/>
                <w:sz w:val="20"/>
              </w:rPr>
              <w:t>Security Group</w:t>
            </w:r>
          </w:p>
        </w:tc>
        <w:tc>
          <w:tcPr>
            <w:tcW w:type="dxa" w:w="2160"/>
          </w:tcPr>
          <w:p>
            <w:r>
              <w:rPr>
                <w:b/>
                <w:color w:val="2E75B6"/>
                <w:sz w:val="20"/>
              </w:rPr>
              <w:t>Rule</w:t>
            </w:r>
          </w:p>
        </w:tc>
        <w:tc>
          <w:tcPr>
            <w:tcW w:type="dxa" w:w="2160"/>
          </w:tcPr>
          <w:p>
            <w:r>
              <w:rPr>
                <w:b/>
                <w:color w:val="2E75B6"/>
                <w:sz w:val="20"/>
              </w:rPr>
              <w:t>Risk Level</w:t>
            </w:r>
          </w:p>
        </w:tc>
        <w:tc>
          <w:tcPr>
            <w:tcW w:type="dxa" w:w="2160"/>
          </w:tcPr>
          <w:p>
            <w:r>
              <w:rPr>
                <w:b/>
                <w:color w:val="2E75B6"/>
                <w:sz w:val="20"/>
              </w:rPr>
              <w:t>Recommendation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sg-12345678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0.0.0.0/0:22</w:t>
            </w:r>
          </w:p>
        </w:tc>
        <w:tc>
          <w:tcPr>
            <w:tcW w:type="dxa" w:w="2160"/>
          </w:tcPr>
          <w:p>
            <w:r>
              <w:rPr>
                <w:color w:val="C5504B"/>
                <w:sz w:val="20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Restrict source to specific CIDR blocks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sg-87654321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0.0.0.0/0:3389</w:t>
            </w:r>
          </w:p>
        </w:tc>
        <w:tc>
          <w:tcPr>
            <w:tcW w:type="dxa" w:w="2160"/>
          </w:tcPr>
          <w:p>
            <w:r>
              <w:rPr>
                <w:color w:val="C5504B"/>
                <w:sz w:val="20"/>
              </w:rPr>
              <w:t>high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Restrict source to specific CIDR blocks</w:t>
            </w:r>
          </w:p>
        </w:tc>
      </w:tr>
    </w:tbl>
    <w:p>
      <w:pPr>
        <w:pStyle w:val="Heading2"/>
      </w:pPr>
      <w:r>
        <w:t>Security Recommendations</w:t>
      </w:r>
    </w:p>
    <w:p>
      <w:r>
        <w:rPr>
          <w:sz w:val="22"/>
        </w:rPr>
        <w:t>• Review and restrict overly permissive security group rules</w:t>
      </w:r>
    </w:p>
    <w:p>
      <w:r>
        <w:rPr>
          <w:sz w:val="22"/>
        </w:rPr>
        <w:t>• Implement least privilege access principles</w:t>
      </w:r>
    </w:p>
    <w:p>
      <w:r>
        <w:rPr>
          <w:sz w:val="22"/>
        </w:rPr>
        <w:t>• Regular security group audits and cleanup</w:t>
      </w:r>
    </w:p>
    <w:p>
      <w:r>
        <w:rPr>
          <w:sz w:val="22"/>
        </w:rPr>
        <w:t>• Use AWS Config rules for continuous compliance monitoring</w:t>
      </w:r>
    </w:p>
    <w:p>
      <w:r>
        <w:rPr>
          <w:sz w:val="22"/>
        </w:rPr>
        <w:t>• Enable VPC Flow Logs for network traffic analysis</w:t>
      </w:r>
    </w:p>
    <w:p>
      <w:r>
        <w:rPr>
          <w:sz w:val="22"/>
        </w:rPr>
        <w:t>• Implement AWS GuardDuty for threat detection</w:t>
      </w:r>
    </w:p>
    <w:p>
      <w:r>
        <w:rPr>
          <w:sz w:val="22"/>
        </w:rPr>
        <w:t>• Regular penetration testing and vulnerability assessments</w:t>
      </w:r>
    </w:p>
    <w:p>
      <w:r>
        <w:br w:type="page"/>
      </w:r>
    </w:p>
    <w:p>
      <w:pPr>
        <w:pStyle w:val="Heading1"/>
      </w:pPr>
      <w:r>
        <w:rPr>
          <w:color w:val="2E75B6"/>
        </w:rPr>
        <w:t>Compliance Details</w:t>
      </w:r>
    </w:p>
    <w:p>
      <w:pPr>
        <w:pStyle w:val="Heading2"/>
      </w:pPr>
      <w:r>
        <w:t>Compliance Breakdown by Service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Service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Compliant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Non-Compliant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Total</w:t>
            </w:r>
          </w:p>
        </w:tc>
        <w:tc>
          <w:tcPr>
            <w:tcW w:type="dxa" w:w="1728"/>
          </w:tcPr>
          <w:p>
            <w:r>
              <w:rPr>
                <w:b/>
                <w:color w:val="2E75B6"/>
                <w:sz w:val="20"/>
              </w:rPr>
              <w:t>Compliance %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EC2</w:t>
            </w:r>
          </w:p>
        </w:tc>
        <w:tc>
          <w:tcPr>
            <w:tcW w:type="dxa" w:w="1728"/>
          </w:tcPr>
          <w:p>
            <w:r>
              <w:rPr>
                <w:color w:val="70AD47"/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100.0%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LAMBDA</w:t>
            </w:r>
          </w:p>
        </w:tc>
        <w:tc>
          <w:tcPr>
            <w:tcW w:type="dxa" w:w="1728"/>
          </w:tcPr>
          <w:p>
            <w:r>
              <w:rPr>
                <w:color w:val="70AD47"/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100.0%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RDS</w:t>
            </w:r>
          </w:p>
        </w:tc>
        <w:tc>
          <w:tcPr>
            <w:tcW w:type="dxa" w:w="1728"/>
          </w:tcPr>
          <w:p>
            <w:r>
              <w:rPr>
                <w:color w:val="70AD47"/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100.0%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S3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color w:val="C5504B"/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0.0%</w:t>
            </w:r>
          </w:p>
        </w:tc>
      </w:tr>
      <w:tr>
        <w:tc>
          <w:tcPr>
            <w:tcW w:type="dxa" w:w="1728"/>
          </w:tcPr>
          <w:p>
            <w:r>
              <w:rPr>
                <w:sz w:val="20"/>
              </w:rPr>
              <w:t>VPC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color w:val="C5504B"/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20"/>
              </w:rPr>
              <w:t>0.0%</w:t>
            </w:r>
          </w:p>
        </w:tc>
      </w:tr>
    </w:tbl>
    <w:p>
      <w:pPr>
        <w:pStyle w:val="Heading2"/>
      </w:pPr>
      <w:r>
        <w:t>Non-Compliant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Service</w:t>
            </w:r>
          </w:p>
        </w:tc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Type</w:t>
            </w:r>
          </w:p>
        </w:tc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Name</w:t>
            </w:r>
          </w:p>
        </w:tc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2E75B6"/>
                <w:sz w:val="20"/>
              </w:rPr>
              <w:t>Issues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S3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Bucket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company-data-bucket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company-data-bucket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Missing required tags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VPC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SecurityGroup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sg-12345678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web-server-sg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us-east-1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Missing required tags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2E75B6"/>
        </w:rPr>
        <w:t>Appendices</w:t>
      </w:r>
    </w:p>
    <w:p>
      <w:pPr>
        <w:pStyle w:val="Heading2"/>
      </w:pPr>
      <w:r>
        <w:t>Appendix A: Report Generation Details</w:t>
      </w:r>
    </w:p>
    <w:p>
      <w:r>
        <w:rPr>
          <w:sz w:val="22"/>
        </w:rPr>
        <w:t>This report was generated on 2025-08-01T01:57:27.355283+00:00 and processed 5 resources in 2.80 seconds. The data source was aws_resource_inventory.py.</w:t>
      </w:r>
    </w:p>
    <w:p>
      <w:pPr>
        <w:pStyle w:val="Heading2"/>
      </w:pPr>
      <w:r>
        <w:t>Appendix B: Custom Attributes</w:t>
      </w:r>
    </w:p>
    <w:p>
      <w:r>
        <w:rPr>
          <w:sz w:val="22"/>
        </w:rPr>
        <w:t>The following custom attributes were configured for this report: inventag:remarks, inventag:costcenter. These attributes provide organization-specific metadata for resources.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2E75B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2E75B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InvenTag Demo Corporation - Cloud BOM Report</dc:title>
  <dc:subject>AWS Resource Inventory and Compliance Report</dc:subject>
  <dc:creator>InvenTag Cloud BOM Generator</dc:creator>
  <cp:keywords/>
  <dc:description>Professional AWS resource inventory and compliance report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