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3.png" ContentType="image/png"/>
  <Override PartName="/word/media/rId129.png" ContentType="image/png"/>
  <Override PartName="/word/media/rId148.png" ContentType="image/png"/>
  <Override PartName="/word/media/rId156.png" ContentType="image/png"/>
  <Override PartName="/word/media/rId152.png" ContentType="image/png"/>
  <Override PartName="/word/media/rId160.png" ContentType="image/png"/>
  <Override PartName="/word/media/rId117.png" ContentType="image/png"/>
  <Override PartName="/word/media/rId85.png" ContentType="image/png"/>
  <Override PartName="/word/media/rId106.png" ContentType="image/png"/>
  <Override PartName="/word/media/rId102.png" ContentType="image/png"/>
  <Override PartName="/word/media/rId93.png" ContentType="image/png"/>
  <Override PartName="/word/media/rId111.png" ContentType="image/png"/>
  <Override PartName="/word/media/rId27.svg" ContentType="image/svg+xml"/>
  <Override PartName="/word/media/rId32.svg" ContentType="image/svg+xml"/>
  <Override PartName="/word/media/rId22.svg" ContentType="image/svg+xml"/>
  <Override PartName="/word/media/rId76.png" ContentType="image/png"/>
  <Override PartName="/word/media/rId25.png" ContentType="image/png"/>
  <Override PartName="/word/media/rId30.png" ContentType="image/png"/>
  <Override PartName="/word/media/rId35.png" ContentType="image/png"/>
  <Override PartName="/word/media/rId39.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Override PartName="/word/media/rId63.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1">
        <w:r>
          <w:rPr>
            <w:rStyle w:val="Hyperlink"/>
          </w:rPr>
          <w:t xml:space="preserve">habi/sticklebacks-manuscript@0ebf363</w:t>
        </w:r>
      </w:hyperlink>
      <w:r>
        <w:t xml:space="preserve"> </w:t>
      </w:r>
      <w:r>
        <w:t xml:space="preserve">on August 25, 2026.</w:t>
      </w:r>
      <w:r>
        <w:t xml:space="preserve"> </w:t>
      </w:r>
      <w:r>
        <w:t xml:space="preserve"> </w:t>
      </w:r>
      <w:r>
        <w:t xml:space="preserve">This version contains 5358 words.</w:t>
      </w:r>
      <w:r>
        <w:t xml:space="preserve"> </w:t>
      </w:r>
    </w:p>
    <w:bookmarkStart w:id="72"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habi</w:t>
        </w:r>
      </w:hyperlink>
      <w:r>
        <w:t xml:space="preserve"> </w:t>
      </w:r>
      <w:r>
        <w:t xml:space="preserve">·</w:t>
      </w:r>
      <w:r>
        <w:t xml:space="preserve"> </w:t>
      </w:r>
      <w:r>
        <w:drawing>
          <wp:inline>
            <wp:extent cx="152400" cy="152400"/>
            <wp:effectExtent b="0" l="0" r="0" t="0"/>
            <wp:docPr descr="Mastodon icon" title="" id="33" name="Picture"/>
            <a:graphic>
              <a:graphicData uri="http://schemas.openxmlformats.org/drawingml/2006/picture">
                <pic:pic>
                  <pic:nvPicPr>
                    <pic:cNvPr descr="images/mastodon.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6">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37" name="Picture"/>
            <a:graphic>
              <a:graphicData uri="http://schemas.openxmlformats.org/drawingml/2006/picture">
                <pic:pic>
                  <pic:nvPicPr>
                    <pic:cNvPr descr="images/orcid.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0">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1" name="Picture"/>
            <a:graphic>
              <a:graphicData uri="http://schemas.openxmlformats.org/drawingml/2006/picture">
                <pic:pic>
                  <pic:nvPicPr>
                    <pic:cNvPr descr="images/github.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4">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5" name="Picture"/>
            <a:graphic>
              <a:graphicData uri="http://schemas.openxmlformats.org/drawingml/2006/picture">
                <pic:pic>
                  <pic:nvPicPr>
                    <pic:cNvPr descr="images/orcid.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8">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49" name="Picture"/>
            <a:graphic>
              <a:graphicData uri="http://schemas.openxmlformats.org/drawingml/2006/picture">
                <pic:pic>
                  <pic:nvPicPr>
                    <pic:cNvPr descr="images/github.svg" id="50" name="Picture"/>
                    <pic:cNvPicPr>
                      <a:picLocks noChangeArrowheads="1" noChangeAspect="1"/>
                    </pic:cNvPicPr>
                  </pic:nvPicPr>
                  <pic:blipFill>
                    <a:blip r:embed="rId51">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2">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3" name="Picture"/>
            <a:graphic>
              <a:graphicData uri="http://schemas.openxmlformats.org/drawingml/2006/picture">
                <pic:pic>
                  <pic:nvPicPr>
                    <pic:cNvPr descr="images/orcid.svg" id="54" name="Picture"/>
                    <pic:cNvPicPr>
                      <a:picLocks noChangeArrowheads="1" noChangeAspect="1"/>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6">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57" name="Picture"/>
            <a:graphic>
              <a:graphicData uri="http://schemas.openxmlformats.org/drawingml/2006/picture">
                <pic:pic>
                  <pic:nvPicPr>
                    <pic:cNvPr descr="images/github.svg" id="58" name="Picture"/>
                    <pic:cNvPicPr>
                      <a:picLocks noChangeArrowheads="1" noChangeAspect="1"/>
                    </pic:cNvPicPr>
                  </pic:nvPicPr>
                  <pic:blipFill>
                    <a:blip r:embed="rId59">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0">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1" name="Picture"/>
            <a:graphic>
              <a:graphicData uri="http://schemas.openxmlformats.org/drawingml/2006/picture">
                <pic:pic>
                  <pic:nvPicPr>
                    <pic:cNvPr descr="images/orcid.svg" id="62" name="Picture"/>
                    <pic:cNvPicPr>
                      <a:picLocks noChangeArrowheads="1" noChangeAspect="1"/>
                    </pic:cNvPicPr>
                  </pic:nvPicPr>
                  <pic:blipFill>
                    <a:blip r:embed="rId63">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4">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5" name="Picture"/>
            <a:graphic>
              <a:graphicData uri="http://schemas.openxmlformats.org/drawingml/2006/picture">
                <pic:pic>
                  <pic:nvPicPr>
                    <pic:cNvPr descr="images/github.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8">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1" w:name="correspondence"/>
    <w:p>
      <w:pPr>
        <w:pStyle w:val="FirstParagraph"/>
      </w:pPr>
      <w:r>
        <w:t xml:space="preserve">✉: Correspondence via</w:t>
      </w:r>
      <w:r>
        <w:t xml:space="preserve"> </w:t>
      </w:r>
      <w:hyperlink r:id="rId69">
        <w:r>
          <w:rPr>
            <w:rStyle w:val="Hyperlink"/>
          </w:rPr>
          <w:t xml:space="preserve">GitHub Issues</w:t>
        </w:r>
      </w:hyperlink>
      <w:r>
        <w:t xml:space="preserve"> </w:t>
      </w:r>
      <w:r>
        <w:t xml:space="preserve">or email to</w:t>
      </w:r>
      <w:r>
        <w:t xml:space="preserve"> </w:t>
      </w:r>
      <w:hyperlink r:id="rId70">
        <w:r>
          <w:rPr>
            <w:rStyle w:val="Hyperlink"/>
          </w:rPr>
          <w:t xml:space="preserve">Ruslan Hlushchuk</w:t>
        </w:r>
      </w:hyperlink>
      <w:r>
        <w:t xml:space="preserve">.</w:t>
      </w:r>
    </w:p>
    <w:bookmarkEnd w:id="71"/>
    <w:bookmarkEnd w:id="72"/>
    <w:bookmarkStart w:id="73"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Benthic (benthos-feeding) and limnetic (water-column-feeding) stickleback populations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analyses of feeding structures—particularly the jaws and complex internal branchial anatomy—remain time-consuming and require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often require measuring and analyzing hundreds to thousands of specimens.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3"/>
    <w:bookmarkStart w:id="74"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on the bottom of lakes; limnetic stickleback forage on zooplankton within the water column—see</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sticklebacks—one made from four source populations of limnetic sticklebacks and one made from four source populations of benthic sticklebacks—have been placed into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to this project, as it provides the raw material for evolution in the destination lakes.</w:t>
      </w:r>
    </w:p>
    <w:p>
      <w:pPr>
        <w:pStyle w:val="BodyText"/>
      </w:pPr>
      <w:r>
        <w:t xml:space="preserve">Among sticklebacks and other bony fishes, differences in jaw structures are directly related to functional and kinematic differences between different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whereas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implicated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While the shape and arrangement of paired ceratobranchial and pharyngobranchial bones within this complex aid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comparatively little attention relative to other aspects of dietary anatomy.</w:t>
      </w:r>
      <w:r>
        <w:t xml:space="preserve"> </w:t>
      </w:r>
      <w:r>
        <w:t xml:space="preserve">This is likely due to the flattening and destructive sampling used in traditional gill raker counting methods, which dissect and deform these structures to render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These structures are, however, difficult to study without full cranial dissection and corresponding distortion of the branchial anatomy.</w:t>
      </w:r>
      <w:r>
        <w:t xml:space="preserve"> </w:t>
      </w:r>
      <w:r>
        <w:t xml:space="preserve">Micro-CT-based three-dimensional (3D) imaging preserves these features at a high resolution and allows for non-destructive analysis.</w:t>
      </w:r>
      <w:r>
        <w:t xml:space="preserve"> </w:t>
      </w:r>
      <w:r>
        <w:t xml:space="preserve">Imaging large numbers of stickleback specimens, however, has until now been prohibitive due to the limitations of acquisition and processing time.</w:t>
      </w:r>
    </w:p>
    <w:bookmarkEnd w:id="74"/>
    <w:bookmarkStart w:id="75" w:name="micro-computed-tomography"/>
    <w:p>
      <w:pPr>
        <w:pStyle w:val="Heading2"/>
      </w:pPr>
      <w:r>
        <w:t xml:space="preserve">Micro-computed tomography</w:t>
      </w:r>
    </w:p>
    <w:p>
      <w:pPr>
        <w:pStyle w:val="FirstParagraph"/>
      </w:pPr>
      <w:r>
        <w:t xml:space="preserve">X-ray micro-computed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Microtomographic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While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specimen make this approach infeasible for population-level and evolutionary studies.</w:t>
      </w:r>
      <w:r>
        <w:t xml:space="preserve"> </w:t>
      </w:r>
      <w:r>
        <w:t xml:space="preserve">In addition,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5"/>
    <w:bookmarkStart w:id="139" w:name="materials-methods"/>
    <w:p>
      <w:pPr>
        <w:pStyle w:val="Heading2"/>
      </w:pPr>
      <w:r>
        <w:t xml:space="preserve">Materials &amp; Methods</w:t>
      </w:r>
    </w:p>
    <w:bookmarkStart w:id="0" w:name="fig:workflow"/>
    <w:p>
      <w:pPr>
        <w:pStyle w:val="CaptionedFigure"/>
      </w:pPr>
      <w:bookmarkStart w:id="79" w:name="fig:workflow"/>
      <w:r>
        <w:drawing>
          <wp:inline>
            <wp:extent cx="5943600" cy="670918"/>
            <wp:effectExtent b="0" l="0" r="0" t="0"/>
            <wp:docPr descr="Figure 1: Workflow overview" title="" id="77" name="Picture"/>
            <a:graphic>
              <a:graphicData uri="http://schemas.openxmlformats.org/drawingml/2006/picture">
                <pic:pic>
                  <pic:nvPicPr>
                    <pic:cNvPr descr="images/workflow.png" id="78" name="Picture"/>
                    <pic:cNvPicPr>
                      <a:picLocks noChangeArrowheads="1" noChangeAspect="1"/>
                    </pic:cNvPicPr>
                  </pic:nvPicPr>
                  <pic:blipFill>
                    <a:blip r:embed="rId76"/>
                    <a:stretch>
                      <a:fillRect/>
                    </a:stretch>
                  </pic:blipFill>
                  <pic:spPr bwMode="auto">
                    <a:xfrm>
                      <a:off x="0" y="0"/>
                      <a:ext cx="5943600" cy="670918"/>
                    </a:xfrm>
                    <a:prstGeom prst="rect">
                      <a:avLst/>
                    </a:prstGeom>
                    <a:noFill/>
                    <a:ln w="9525">
                      <a:noFill/>
                      <a:headEnd/>
                      <a:tailEnd/>
                    </a:ln>
                  </pic:spPr>
                </pic:pic>
              </a:graphicData>
            </a:graphic>
          </wp:inline>
        </w:drawing>
      </w:r>
      <w:bookmarkEnd w:id="79"/>
    </w:p>
    <w:p>
      <w:pPr>
        <w:pStyle w:val="ImageCaption"/>
      </w:pPr>
      <w:r>
        <w:t xml:space="preserve">Figure 1: Workflow overview</w:t>
      </w:r>
    </w:p>
    <w:bookmarkEnd w:id="0"/>
    <w:bookmarkStart w:id="80" w:name="sample-procurement-and-preparation"/>
    <w:p>
      <w:pPr>
        <w:pStyle w:val="Heading3"/>
      </w:pPr>
      <w:r>
        <w:t xml:space="preserve">Sample procurement and preparation</w:t>
      </w:r>
    </w:p>
    <w:p>
      <w:pPr>
        <w:pStyle w:val="FirstParagraph"/>
      </w:pPr>
      <w:r>
        <w:t xml:space="preserve">The specimens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taking place from May 26–June 10, 2023 and the second taking place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Fish were euthanized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were: 52 from Watson Lake (benthic), 48 from Finger Lake (benthic), 46 from Spirit Lake (limnetic), 35 from South Rolly Lake (limnetic), 20 from Walby Lake (benthic), and 14 from Tern Lake (benthic) for a total of 215 specimens.</w:t>
      </w:r>
      <w:r>
        <w:t xml:space="preserve"> </w:t>
      </w:r>
      <w:r>
        <w:t xml:space="preserve">Additionally, caudal fin clips were collected from fish sampled during the 2024 field season for molecular sex identification via genotyping.</w:t>
      </w:r>
      <w:r>
        <w:t xml:space="preserve"> </w:t>
      </w:r>
      <w:r>
        <w:t xml:space="preserve">DNA was extracted from the fin tissue following Meeker et al.</w:t>
      </w:r>
      <w:r>
        <w:t xml:space="preserve"> </w:t>
      </w:r>
      <w:r>
        <w:t xml:space="preserve">(</w:t>
      </w:r>
      <w:hyperlink w:anchor="ref-uw1mZ6Yi">
        <w:r>
          <w:rPr>
            <w:rStyle w:val="Hyperlink"/>
          </w:rPr>
          <w:t xml:space="preserve">Meeker et al., 2007</w:t>
        </w:r>
      </w:hyperlink>
      <w:r>
        <w:t xml:space="preserve">)</w:t>
      </w:r>
      <w:r>
        <w:t xml:space="preserve"> </w:t>
      </w:r>
      <w:r>
        <w:t xml:space="preserve">and subsequent PCR genotyping was performed with LRRc61 primers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to the surrounding tissue, the structures of interest in this study (teeth and bones, i.e., jaws and skull) are well visualized in unstained samples, hence no further preparation of the fish was necessary.</w:t>
      </w:r>
    </w:p>
    <w:bookmarkEnd w:id="80"/>
    <w:bookmarkStart w:id="89"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the sticklebacks in batches of six fish in a custom-made 3D-printed sample holder in a single scan.</w:t>
      </w:r>
      <w:r>
        <w:t xml:space="preserve"> </w:t>
      </w:r>
      <w:r>
        <w:t xml:space="preserve">This holder was designed in</w:t>
      </w:r>
      <w:r>
        <w:t xml:space="preserve"> </w:t>
      </w:r>
      <w:hyperlink r:id="rId81">
        <w:r>
          <w:rPr>
            <w:rStyle w:val="Hyperlink"/>
          </w:rPr>
          <w:t xml:space="preserve">OpenSCAD</w:t>
        </w:r>
      </w:hyperlink>
      <w:r>
        <w:t xml:space="preserve"> </w:t>
      </w:r>
      <w:r>
        <w:t xml:space="preserve">(OpenSCAD Developers. Version 2021.01) and is available online, either directly as</w:t>
      </w:r>
      <w:r>
        <w:t xml:space="preserve"> </w:t>
      </w:r>
      <w:hyperlink r:id="rId82">
        <w:r>
          <w:rPr>
            <w:rStyle w:val="Hyperlink"/>
          </w:rPr>
          <w:t xml:space="preserve">STL file for printing</w:t>
        </w:r>
      </w:hyperlink>
      <w:r>
        <w:t xml:space="preserve"> </w:t>
      </w:r>
      <w:r>
        <w:t xml:space="preserve">or as</w:t>
      </w:r>
      <w:r>
        <w:t xml:space="preserve"> </w:t>
      </w:r>
      <w:hyperlink r:id="rId83">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4">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but one scan where we used a source voltage of 49 kV and 159 µA due to operator error.</w:t>
      </w:r>
      <w:r>
        <w:t xml:space="preserve"> </w:t>
      </w:r>
      <w:r>
        <w:t xml:space="preserve">For each sample, we recorded a set of 3601 projections (each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3 fields of view along the rotation axis of the sample holder.</w:t>
      </w:r>
      <w:r>
        <w:t xml:space="preserve"> </w:t>
      </w:r>
      <w:r>
        <w:t xml:space="preserve">This resulted in an average scan time of 10 hours for each scan.</w:t>
      </w:r>
      <w:r>
        <w:t xml:space="preserve"> </w:t>
      </w:r>
      <w:r>
        <w:t xml:space="preserve">The projection images were then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isometric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where it is shown how this scan contains six fish.</w:t>
      </w:r>
      <w:r>
        <w:t xml:space="preserve"> </w:t>
      </w:r>
      <w:r>
        <w:t xml:space="preserve">The labels on the holder are colored red, and shown extracted (in yellow) later in</w:t>
      </w:r>
      <w:r>
        <w:t xml:space="preserve"> </w:t>
      </w:r>
      <w:hyperlink w:anchor="fig:labels">
        <w:r>
          <w:rPr>
            <w:rStyle w:val="Hyperlink"/>
          </w:rPr>
          <w:t xml:space="preserve">4</w:t>
        </w:r>
      </w:hyperlink>
      <w:r>
        <w:t xml:space="preserve">.</w:t>
      </w:r>
    </w:p>
    <w:bookmarkStart w:id="0" w:name="fig:visualization"/>
    <w:p>
      <w:pPr>
        <w:pStyle w:val="CaptionedFigure"/>
      </w:pPr>
      <w:bookmarkStart w:id="88" w:name="fig:visualization"/>
      <w:r>
        <w:drawing>
          <wp:inline>
            <wp:extent cx="5943600" cy="5482997"/>
            <wp:effectExtent b="0" l="0" r="0" t="0"/>
            <wp:docPr descr="Figure 2: Three-dimensional visualization of one multi-specimen scan. The 3D-printed labels are colored in red, the holder itself is shown semitransparently, containing six specimen for this scan." title="" id="86" name="Picture"/>
            <a:graphic>
              <a:graphicData uri="http://schemas.openxmlformats.org/drawingml/2006/picture">
                <pic:pic>
                  <pic:nvPicPr>
                    <pic:cNvPr descr="images/Sticklebucket_H.rec.3D.png" id="87" name="Picture"/>
                    <pic:cNvPicPr>
                      <a:picLocks noChangeArrowheads="1" noChangeAspect="1"/>
                    </pic:cNvPicPr>
                  </pic:nvPicPr>
                  <pic:blipFill>
                    <a:blip r:embed="rId85"/>
                    <a:stretch>
                      <a:fillRect/>
                    </a:stretch>
                  </pic:blipFill>
                  <pic:spPr bwMode="auto">
                    <a:xfrm>
                      <a:off x="0" y="0"/>
                      <a:ext cx="5943600" cy="5482997"/>
                    </a:xfrm>
                    <a:prstGeom prst="rect">
                      <a:avLst/>
                    </a:prstGeom>
                    <a:noFill/>
                    <a:ln w="9525">
                      <a:noFill/>
                      <a:headEnd/>
                      <a:tailEnd/>
                    </a:ln>
                  </pic:spPr>
                </pic:pic>
              </a:graphicData>
            </a:graphic>
          </wp:inline>
        </w:drawing>
      </w:r>
      <w:bookmarkEnd w:id="88"/>
    </w:p>
    <w:p>
      <w:pPr>
        <w:pStyle w:val="ImageCaption"/>
      </w:pPr>
      <w:r>
        <w:t xml:space="preserve">Figure 2: Three-dimensional visualization of one multi-specimen scan.</w:t>
      </w:r>
      <w:r>
        <w:t xml:space="preserve"> </w:t>
      </w:r>
      <w:r>
        <w:t xml:space="preserve">The 3D-printed labels are colored in red, the holder itself is shown semitransparently, containing six specimen for this scan.</w:t>
      </w:r>
    </w:p>
    <w:bookmarkEnd w:id="0"/>
    <w:bookmarkEnd w:id="89"/>
    <w:bookmarkStart w:id="138" w:name="data-analysis"/>
    <w:p>
      <w:pPr>
        <w:pStyle w:val="Heading3"/>
      </w:pPr>
      <w:r>
        <w:t xml:space="preserve">Data analysis</w:t>
      </w:r>
    </w:p>
    <w:bookmarkStart w:id="122"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0">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97" w:name="preview-notebook"/>
    <w:p>
      <w:pPr>
        <w:pStyle w:val="Heading5"/>
      </w:pPr>
      <w:r>
        <w:t xml:space="preserve">Preview notebook</w:t>
      </w:r>
    </w:p>
    <w:p>
      <w:pPr>
        <w:pStyle w:val="FirstParagraph"/>
      </w:pPr>
      <w:r>
        <w:t xml:space="preserve">The</w:t>
      </w:r>
      <w:r>
        <w:t xml:space="preserve"> </w:t>
      </w:r>
      <w:hyperlink r:id="rId91">
        <w:r>
          <w:rPr>
            <w:rStyle w:val="Hyperlink"/>
          </w:rPr>
          <w:t xml:space="preserve">preview notebook</w:t>
        </w:r>
      </w:hyperlink>
      <w:r>
        <w:t xml:space="preserve"> </w:t>
      </w:r>
      <w:r>
        <w:t xml:space="preserve">is used to identify issues with the scanning.</w:t>
      </w:r>
      <w:r>
        <w:t xml:space="preserve"> </w:t>
      </w:r>
      <w:r>
        <w:t xml:space="preserve">For this, we read all relevant scanning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2">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6" w:name="fig:mips"/>
      <w:r>
        <w:drawing>
          <wp:inline>
            <wp:extent cx="5943600" cy="2891545"/>
            <wp:effectExtent b="0" l="0" r="0" t="0"/>
            <wp:docPr descr="Figure 3: Maximum intensity projections of one acquired dataset along all three cardinal axes." title="" id="94" name="Picture"/>
            <a:graphic>
              <a:graphicData uri="http://schemas.openxmlformats.org/drawingml/2006/picture">
                <pic:pic>
                  <pic:nvPicPr>
                    <pic:cNvPr descr="images/Sticklebucket_H.rec.MIPs.png" id="95" name="Picture"/>
                    <pic:cNvPicPr>
                      <a:picLocks noChangeArrowheads="1" noChangeAspect="1"/>
                    </pic:cNvPicPr>
                  </pic:nvPicPr>
                  <pic:blipFill>
                    <a:blip r:embed="rId93"/>
                    <a:stretch>
                      <a:fillRect/>
                    </a:stretch>
                  </pic:blipFill>
                  <pic:spPr bwMode="auto">
                    <a:xfrm>
                      <a:off x="0" y="0"/>
                      <a:ext cx="5943600" cy="2891545"/>
                    </a:xfrm>
                    <a:prstGeom prst="rect">
                      <a:avLst/>
                    </a:prstGeom>
                    <a:noFill/>
                    <a:ln w="9525">
                      <a:noFill/>
                      <a:headEnd/>
                      <a:tailEnd/>
                    </a:ln>
                  </pic:spPr>
                </pic:pic>
              </a:graphicData>
            </a:graphic>
          </wp:inline>
        </w:drawing>
      </w:r>
      <w:bookmarkEnd w:id="96"/>
    </w:p>
    <w:p>
      <w:pPr>
        <w:pStyle w:val="ImageCaption"/>
      </w:pPr>
      <w:r>
        <w:t xml:space="preserve">Figure 3: Maximum intensity projections of one acquired dataset along all three cardinal axes.</w:t>
      </w:r>
    </w:p>
    <w:bookmarkEnd w:id="0"/>
    <w:bookmarkEnd w:id="97"/>
    <w:bookmarkStart w:id="121" w:name="separation-notebook"/>
    <w:p>
      <w:pPr>
        <w:pStyle w:val="Heading5"/>
      </w:pPr>
      <w:r>
        <w:t xml:space="preserve">Separation notebook</w:t>
      </w:r>
    </w:p>
    <w:p>
      <w:pPr>
        <w:pStyle w:val="FirstParagraph"/>
      </w:pPr>
      <w:r>
        <w:t xml:space="preserve">The</w:t>
      </w:r>
      <w:r>
        <w:t xml:space="preserve"> </w:t>
      </w:r>
      <w:hyperlink r:id="rId98">
        <w:r>
          <w:rPr>
            <w:rStyle w:val="Hyperlink"/>
          </w:rPr>
          <w:t xml:space="preserve">separation notebook</w:t>
        </w:r>
      </w:hyperlink>
      <w:r>
        <w:t xml:space="preserve"> </w:t>
      </w:r>
      <w:r>
        <w:t xml:space="preserve">processes all the acquired scans to extract each individual fish from each scan encompassing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99">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Based on the previously extracted MIP images and a simple labeling of these images (</w:t>
      </w:r>
      <w:hyperlink r:id="rId100">
        <w:r>
          <w:rPr>
            <w:rStyle w:val="VerbatimChar"/>
          </w:rPr>
          <w:t xml:space="preserve">skimage.measure.label</w:t>
        </w:r>
      </w:hyperlink>
      <w:r>
        <w:t xml:space="preserve">), we extract both the labels in the custom-made sample holder and the positions of individual fish in the scan (</w:t>
      </w:r>
      <w:hyperlink r:id="rId101">
        <w:r>
          <w:rPr>
            <w:rStyle w:val="VerbatimChar"/>
          </w:rPr>
          <w:t xml:space="preserve">skimage.measure.regionprops</w:t>
        </w:r>
      </w:hyperlink>
      <w:r>
        <w:t xml:space="preserve">) (see Figure</w:t>
      </w:r>
      <w:r>
        <w:t xml:space="preserve"> </w:t>
      </w:r>
      <w:hyperlink w:anchor="fig:labels">
        <w:r>
          <w:rPr>
            <w:rStyle w:val="Hyperlink"/>
          </w:rPr>
          <w:t xml:space="preserve">4</w:t>
        </w:r>
      </w:hyperlink>
      <w:r>
        <w:t xml:space="preserve">).</w:t>
      </w:r>
      <w:r>
        <w:t xml:space="preserve"> </w:t>
      </w:r>
      <w:r>
        <w:t xml:space="preserve">This extraction process is fully reproducible and tailored to the custom sample holder.</w:t>
      </w:r>
    </w:p>
    <w:bookmarkStart w:id="0" w:name="fig:labels"/>
    <w:p>
      <w:pPr>
        <w:pStyle w:val="CaptionedFigure"/>
      </w:pPr>
      <w:bookmarkStart w:id="105" w:name="fig:labels"/>
      <w:r>
        <w:drawing>
          <wp:inline>
            <wp:extent cx="5943600" cy="3078745"/>
            <wp:effectExtent b="0" l="0" r="0" t="0"/>
            <wp:docPr descr="Figure 4: Automatically detected regions based on maximum intensity projection along the rotation axis of the tomographic scan. The regions are numbered consecutively from the top left to the bottom right. These numbers are mapped to the correct fish ID in the next step." title="" id="103" name="Picture"/>
            <a:graphic>
              <a:graphicData uri="http://schemas.openxmlformats.org/drawingml/2006/picture">
                <pic:pic>
                  <pic:nvPicPr>
                    <pic:cNvPr descr="images/Sticklebucket_H.rec.Labels.Detected.png" id="104" name="Picture"/>
                    <pic:cNvPicPr>
                      <a:picLocks noChangeArrowheads="1" noChangeAspect="1"/>
                    </pic:cNvPicPr>
                  </pic:nvPicPr>
                  <pic:blipFill>
                    <a:blip r:embed="rId102"/>
                    <a:stretch>
                      <a:fillRect/>
                    </a:stretch>
                  </pic:blipFill>
                  <pic:spPr bwMode="auto">
                    <a:xfrm>
                      <a:off x="0" y="0"/>
                      <a:ext cx="5943600" cy="3078745"/>
                    </a:xfrm>
                    <a:prstGeom prst="rect">
                      <a:avLst/>
                    </a:prstGeom>
                    <a:noFill/>
                    <a:ln w="9525">
                      <a:noFill/>
                      <a:headEnd/>
                      <a:tailEnd/>
                    </a:ln>
                  </pic:spPr>
                </pic:pic>
              </a:graphicData>
            </a:graphic>
          </wp:inline>
        </w:drawing>
      </w:r>
      <w:bookmarkEnd w:id="105"/>
    </w:p>
    <w:p>
      <w:pPr>
        <w:pStyle w:val="ImageCaption"/>
      </w:pPr>
      <w:r>
        <w:t xml:space="preserve">Figure 4: Automatically detected regions based on maximum intensity projection along the rotation axis of the tomographic scan.</w:t>
      </w:r>
      <w:r>
        <w:t xml:space="preserve"> </w:t>
      </w:r>
      <w:r>
        <w:t xml:space="preserve">The regions are numbered consecutively from the top left to the bottom right.</w:t>
      </w:r>
      <w:r>
        <w:t xml:space="preserve"> </w:t>
      </w:r>
      <w:r>
        <w:t xml:space="preserve">These numbers are mapped to the correct fish ID in the next step.</w:t>
      </w:r>
    </w:p>
    <w:bookmarkEnd w:id="0"/>
    <w:p>
      <w:pPr>
        <w:pStyle w:val="BodyText"/>
      </w:pPr>
      <w:r>
        <w:t xml:space="preserve">Based on a simple mapping of the detected region to the ID numbers of the scanned fish, we labeled the resulting images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09" w:name="fig:checking"/>
      <w:r>
        <w:drawing>
          <wp:inline>
            <wp:extent cx="5943600" cy="5072104"/>
            <wp:effectExtent b="0" l="0" r="0" t="0"/>
            <wp:docPr descr="Figure 5: Mapping lab book notes, photos, and detected regions to fish ID." title="" id="107" name="Picture"/>
            <a:graphic>
              <a:graphicData uri="http://schemas.openxmlformats.org/drawingml/2006/picture">
                <pic:pic>
                  <pic:nvPicPr>
                    <pic:cNvPr descr="images/Sticklebucket_H.rec.Labels.Check.png" id="108" name="Picture"/>
                    <pic:cNvPicPr>
                      <a:picLocks noChangeArrowheads="1" noChangeAspect="1"/>
                    </pic:cNvPicPr>
                  </pic:nvPicPr>
                  <pic:blipFill>
                    <a:blip r:embed="rId106"/>
                    <a:stretch>
                      <a:fillRect/>
                    </a:stretch>
                  </pic:blipFill>
                  <pic:spPr bwMode="auto">
                    <a:xfrm>
                      <a:off x="0" y="0"/>
                      <a:ext cx="5943600" cy="5072104"/>
                    </a:xfrm>
                    <a:prstGeom prst="rect">
                      <a:avLst/>
                    </a:prstGeom>
                    <a:noFill/>
                    <a:ln w="9525">
                      <a:noFill/>
                      <a:headEnd/>
                      <a:tailEnd/>
                    </a:ln>
                  </pic:spPr>
                </pic:pic>
              </a:graphicData>
            </a:graphic>
          </wp:inline>
        </w:drawing>
      </w:r>
      <w:bookmarkEnd w:id="109"/>
    </w:p>
    <w:p>
      <w:pPr>
        <w:pStyle w:val="ImageCaption"/>
      </w:pPr>
      <w:r>
        <w:t xml:space="preserve">Figure 5: Mapping lab book notes, photos, and detected regions to fish ID.</w:t>
      </w:r>
    </w:p>
    <w:bookmarkEnd w:id="0"/>
    <w:p>
      <w:pPr>
        <w:pStyle w:val="BodyText"/>
      </w:pPr>
      <w:r>
        <w:t xml:space="preserve">The</w:t>
      </w:r>
      <w:r>
        <w:t xml:space="preserve"> </w:t>
      </w:r>
      <w:r>
        <w:rPr>
          <w:rStyle w:val="VerbatimChar"/>
        </w:rPr>
        <w:t xml:space="preserve">skimage.measure.regionprops</w:t>
      </w:r>
      <w:r>
        <w:t xml:space="preserve"> </w:t>
      </w:r>
      <w:r>
        <w:t xml:space="preserve">function used for labeling not only returns the positions of each detected fish, but also the extent of the bounding box of each detected region.</w:t>
      </w:r>
      <w:r>
        <w:t xml:space="preserve"> </w:t>
      </w:r>
      <w:r>
        <w:t xml:space="preserve">We extracted each region of each fish separately out of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In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a preferred format to store n-dimensional arrays on disk.</w:t>
      </w:r>
      <w:r>
        <w:t xml:space="preserve"> </w:t>
      </w:r>
      <w:r>
        <w:t xml:space="preserve">In addition to this, we also wrote a log file for each extracted region, containing all relevant information to redo the cropping step completely manually (an</w:t>
      </w:r>
      <w:r>
        <w:t xml:space="preserve"> </w:t>
      </w:r>
      <w:hyperlink r:id="rId110">
        <w:r>
          <w:rPr>
            <w:rStyle w:val="Hyperlink"/>
          </w:rPr>
          <w:t xml:space="preserve">example of such a log file</w:t>
        </w:r>
      </w:hyperlink>
      <w:r>
        <w:t xml:space="preserve"> </w:t>
      </w:r>
      <w:r>
        <w:t xml:space="preserve">is shown as part of the processing repository).</w:t>
      </w:r>
    </w:p>
    <w:bookmarkStart w:id="0" w:name="fig:cropping"/>
    <w:p>
      <w:pPr>
        <w:pStyle w:val="CaptionedFigure"/>
      </w:pPr>
      <w:bookmarkStart w:id="114" w:name="fig:cropping"/>
      <w:r>
        <w:drawing>
          <wp:inline>
            <wp:extent cx="5943600" cy="1892100"/>
            <wp:effectExtent b="0" l="0" r="0" t="0"/>
            <wp:docPr descr="Figure 6: Double-checking crop extent and fish ID. The top row shows the extracted regions from the previously calculated MIP of the full scan, the bottom row shows the MIP images of the extracted regions. Both rows must show exactly the same region." title="" id="112" name="Picture"/>
            <a:graphic>
              <a:graphicData uri="http://schemas.openxmlformats.org/drawingml/2006/picture">
                <pic:pic>
                  <pic:nvPicPr>
                    <pic:cNvPr descr="images/Sticklebucket_H.rec.Regions.Check.png" id="113" name="Picture"/>
                    <pic:cNvPicPr>
                      <a:picLocks noChangeArrowheads="1" noChangeAspect="1"/>
                    </pic:cNvPicPr>
                  </pic:nvPicPr>
                  <pic:blipFill>
                    <a:blip r:embed="rId111"/>
                    <a:stretch>
                      <a:fillRect/>
                    </a:stretch>
                  </pic:blipFill>
                  <pic:spPr bwMode="auto">
                    <a:xfrm>
                      <a:off x="0" y="0"/>
                      <a:ext cx="5943600" cy="1892100"/>
                    </a:xfrm>
                    <a:prstGeom prst="rect">
                      <a:avLst/>
                    </a:prstGeom>
                    <a:noFill/>
                    <a:ln w="9525">
                      <a:noFill/>
                      <a:headEnd/>
                      <a:tailEnd/>
                    </a:ln>
                  </pic:spPr>
                </pic:pic>
              </a:graphicData>
            </a:graphic>
          </wp:inline>
        </w:drawing>
      </w:r>
      <w:bookmarkEnd w:id="114"/>
    </w:p>
    <w:p>
      <w:pPr>
        <w:pStyle w:val="ImageCaption"/>
      </w:pPr>
      <w:r>
        <w:t xml:space="preserve">Figure 6: Double-checking crop extent and fish ID.</w:t>
      </w:r>
      <w:r>
        <w:t xml:space="preserve"> </w:t>
      </w:r>
      <w:r>
        <w:t xml:space="preserve">The top row shows the extracted regions from the previously calculated MIP of the full scan, the bottom row shows the MIP images of the extracted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efficiently work with the image data of each extracted fish and to convert that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 additionally,</w:t>
      </w:r>
      <w:r>
        <w:t xml:space="preserve"> </w:t>
      </w:r>
      <w:hyperlink r:id="rId115">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multi-level Otsu thresholding method</w:t>
      </w:r>
      <w:r>
        <w:t xml:space="preserve"> </w:t>
      </w:r>
      <w:r>
        <w:t xml:space="preserve">(</w:t>
      </w:r>
      <w:hyperlink w:anchor="ref-JICzDA7P">
        <w:r>
          <w:rPr>
            <w:rStyle w:val="Hyperlink"/>
          </w:rPr>
          <w:t xml:space="preserve">廖炳松 et al., 2001</w:t>
        </w:r>
      </w:hyperlink>
      <w:r>
        <w:t xml:space="preserve">)</w:t>
      </w:r>
      <w:r>
        <w:t xml:space="preserve">, (with 4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 — K3D-Jupyter Documentation</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t>
      </w:r>
      <w:r>
        <w:t xml:space="preserve">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6">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intermediately generated</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0" w:name="fig:SLX23012_3D"/>
      <w:r>
        <w:drawing>
          <wp:inline>
            <wp:extent cx="5943600" cy="3067333"/>
            <wp:effectExtent b="0" l="0" r="0" t="0"/>
            <wp:docPr descr="Figure 7: Three-dimensional visualization of one extracted region. Extracted region (label 1 visible upside-down on the left) at the bottom, automatically thresholded (threshold value: 50) region on top." title="" id="118" name="Picture"/>
            <a:graphic>
              <a:graphicData uri="http://schemas.openxmlformats.org/drawingml/2006/picture">
                <pic:pic>
                  <pic:nvPicPr>
                    <pic:cNvPr descr="images/SL.X23.012.3D.png" id="119" name="Picture"/>
                    <pic:cNvPicPr>
                      <a:picLocks noChangeArrowheads="1" noChangeAspect="1"/>
                    </pic:cNvPicPr>
                  </pic:nvPicPr>
                  <pic:blipFill>
                    <a:blip r:embed="rId117"/>
                    <a:stretch>
                      <a:fillRect/>
                    </a:stretch>
                  </pic:blipFill>
                  <pic:spPr bwMode="auto">
                    <a:xfrm>
                      <a:off x="0" y="0"/>
                      <a:ext cx="5943600" cy="3067333"/>
                    </a:xfrm>
                    <a:prstGeom prst="rect">
                      <a:avLst/>
                    </a:prstGeom>
                    <a:noFill/>
                    <a:ln w="9525">
                      <a:noFill/>
                      <a:headEnd/>
                      <a:tailEnd/>
                    </a:ln>
                  </pic:spPr>
                </pic:pic>
              </a:graphicData>
            </a:graphic>
          </wp:inline>
        </w:drawing>
      </w:r>
      <w:bookmarkEnd w:id="120"/>
    </w:p>
    <w:p>
      <w:pPr>
        <w:pStyle w:val="ImageCaption"/>
      </w:pPr>
      <w:r>
        <w:t xml:space="preserve">Figure 7: Three-dimensional visualization of one extracted region. Extracted region (label 1 visible upside-down on the left) at the bottom, automatically thresholded (threshold value: 50) region on top.</w:t>
      </w:r>
    </w:p>
    <w:bookmarkEnd w:id="0"/>
    <w:bookmarkEnd w:id="121"/>
    <w:bookmarkEnd w:id="122"/>
    <w:bookmarkStart w:id="127"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The 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6"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4" name="Picture"/>
            <a:graphic>
              <a:graphicData uri="http://schemas.openxmlformats.org/drawingml/2006/picture">
                <pic:pic>
                  <pic:nvPicPr>
                    <pic:cNvPr descr="images/Branchial_Figure.png" id="125" name="Picture"/>
                    <pic:cNvPicPr>
                      <a:picLocks noChangeArrowheads="1" noChangeAspect="1"/>
                    </pic:cNvPicPr>
                  </pic:nvPicPr>
                  <pic:blipFill>
                    <a:blip r:embed="rId123"/>
                    <a:stretch>
                      <a:fillRect/>
                    </a:stretch>
                  </pic:blipFill>
                  <pic:spPr bwMode="auto">
                    <a:xfrm>
                      <a:off x="0" y="0"/>
                      <a:ext cx="5943600" cy="3911665"/>
                    </a:xfrm>
                    <a:prstGeom prst="rect">
                      <a:avLst/>
                    </a:prstGeom>
                    <a:noFill/>
                    <a:ln w="9525">
                      <a:noFill/>
                      <a:headEnd/>
                      <a:tailEnd/>
                    </a:ln>
                  </pic:spPr>
                </pic:pic>
              </a:graphicData>
            </a:graphic>
          </wp:inline>
        </w:drawing>
      </w:r>
      <w:bookmarkEnd w:id="126"/>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alongside the</w:t>
      </w:r>
      <w:r>
        <w:t xml:space="preserve"> </w:t>
      </w:r>
      <w:r>
        <w:rPr>
          <w:rStyle w:val="VerbatimChar"/>
        </w:rPr>
        <w:t xml:space="preserve">nrrd</w:t>
      </w:r>
      <w:r>
        <w:t xml:space="preserve"> </w:t>
      </w:r>
      <w:r>
        <w:t xml:space="preserve">file from which they were segmented to pass to the Biomedisa program.</w:t>
      </w:r>
    </w:p>
    <w:bookmarkEnd w:id="127"/>
    <w:bookmarkStart w:id="128" w:name="machine-learning-and-model-training"/>
    <w:p>
      <w:pPr>
        <w:pStyle w:val="Heading4"/>
      </w:pPr>
      <w:r>
        <w:t xml:space="preserve">Machine learning and model training</w:t>
      </w:r>
    </w:p>
    <w:p>
      <w:pPr>
        <w:pStyle w:val="FirstParagraph"/>
      </w:pPr>
      <w:r>
        <w:t xml:space="preserve">We passed a dataset of 51 specimens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for rotation of 180° to account for possible specimen variability, with an 80/20 split between training and validation data.</w:t>
      </w:r>
      <w:r>
        <w:t xml:space="preserve"> </w:t>
      </w:r>
      <w:r>
        <w:t xml:space="preserve">The model was trained with a batch size of 24 and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where adjacent bones were extremely close together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hereby described approach).</w:t>
      </w:r>
    </w:p>
    <w:bookmarkEnd w:id="128"/>
    <w:bookmarkStart w:id="133" w:name="landmarking-of-models"/>
    <w:p>
      <w:pPr>
        <w:pStyle w:val="Heading4"/>
      </w:pPr>
      <w:r>
        <w:t xml:space="preserve">Landmarking of models</w:t>
      </w:r>
    </w:p>
    <w:p>
      <w:pPr>
        <w:pStyle w:val="FirstParagraph"/>
      </w:pPr>
      <w:r>
        <w:t xml:space="preserve">To demonstrate the effectiveness of this tool and the importance of 3D morphometrics for answering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across all specimens.</w:t>
      </w:r>
      <w:r>
        <w:t xml:space="preserve"> </w:t>
      </w:r>
      <w:r>
        <w:t xml:space="preserve">Type II landmarks were set on the ends of each bone, with semilandmarks in-between each to cover axes of curvature along the bone (see Figure</w:t>
      </w:r>
      <w:r>
        <w:t xml:space="preserve"> </w:t>
      </w:r>
      <w:hyperlink w:anchor="fig:landmarks">
        <w:r>
          <w:rPr>
            <w:rStyle w:val="Hyperlink"/>
          </w:rPr>
          <w:t xml:space="preserve">9</w:t>
        </w:r>
      </w:hyperlink>
      <w:r>
        <w:t xml:space="preserve">).</w:t>
      </w:r>
      <w:r>
        <w:t xml:space="preserve"> </w:t>
      </w:r>
      <w:r>
        <w:t xml:space="preserve">In total, 7 landmarks and 4 semilandmark curves (two containing 20 semilandmarks, two containing 15) were placed on the first ceratobranchial (CB1), and 5 landmarks and 3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2" w:name="fig:landmarks"/>
      <w:r>
        <w:drawing>
          <wp:inline>
            <wp:extent cx="5324315" cy="3724880"/>
            <wp:effectExtent b="0" l="0" r="0" t="0"/>
            <wp:docPr descr="Figure 9: Landmarking shown on dorsal (a) and ventral surfaces (b)." title="" id="130" name="Picture"/>
            <a:graphic>
              <a:graphicData uri="http://schemas.openxmlformats.org/drawingml/2006/picture">
                <pic:pic>
                  <pic:nvPicPr>
                    <pic:cNvPr descr="images/Landmark_Figure.png" id="131" name="Picture"/>
                    <pic:cNvPicPr>
                      <a:picLocks noChangeArrowheads="1" noChangeAspect="1"/>
                    </pic:cNvPicPr>
                  </pic:nvPicPr>
                  <pic:blipFill>
                    <a:blip r:embed="rId129"/>
                    <a:stretch>
                      <a:fillRect/>
                    </a:stretch>
                  </pic:blipFill>
                  <pic:spPr bwMode="auto">
                    <a:xfrm>
                      <a:off x="0" y="0"/>
                      <a:ext cx="5324315" cy="3724880"/>
                    </a:xfrm>
                    <a:prstGeom prst="rect">
                      <a:avLst/>
                    </a:prstGeom>
                    <a:noFill/>
                    <a:ln w="9525">
                      <a:noFill/>
                      <a:headEnd/>
                      <a:tailEnd/>
                    </a:ln>
                  </pic:spPr>
                </pic:pic>
              </a:graphicData>
            </a:graphic>
          </wp:inline>
        </w:drawing>
      </w:r>
      <w:bookmarkEnd w:id="132"/>
    </w:p>
    <w:p>
      <w:pPr>
        <w:pStyle w:val="ImageCaption"/>
      </w:pPr>
      <w:r>
        <w:t xml:space="preserve">Figure 9: Landmarking shown on dorsal (a) and ventral surfaces (b).</w:t>
      </w:r>
    </w:p>
    <w:bookmarkEnd w:id="0"/>
    <w:bookmarkEnd w:id="133"/>
    <w:bookmarkStart w:id="137"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Both bones were split and analyzed separately after generalized Procrustes analysis (GPA) using the</w:t>
      </w:r>
      <w:r>
        <w:t xml:space="preserve"> </w:t>
      </w:r>
      <w:hyperlink r:id="rId134">
        <w:r>
          <w:rPr>
            <w:rStyle w:val="VerbatimChar"/>
          </w:rPr>
          <w:t xml:space="preserve">gpagen()</w:t>
        </w:r>
      </w:hyperlink>
      <w:r>
        <w:t xml:space="preserve"> </w:t>
      </w:r>
      <w:r>
        <w:t xml:space="preserve">function, with Principal Component Analysis (PCA) and linear models run with</w:t>
      </w:r>
      <w:r>
        <w:t xml:space="preserve"> </w:t>
      </w:r>
      <w:hyperlink r:id="rId135">
        <w:r>
          <w:rPr>
            <w:rStyle w:val="VerbatimChar"/>
          </w:rPr>
          <w:t xml:space="preserve">gm.prcomp()</w:t>
        </w:r>
      </w:hyperlink>
      <w:r>
        <w:t xml:space="preserve"> </w:t>
      </w:r>
      <w:r>
        <w:t xml:space="preserve">and</w:t>
      </w:r>
      <w:r>
        <w:t xml:space="preserve"> </w:t>
      </w:r>
      <w:hyperlink r:id="rId136">
        <w:r>
          <w:rPr>
            <w:rStyle w:val="VerbatimChar"/>
          </w:rPr>
          <w:t xml:space="preserve">procD.lm()</w:t>
        </w:r>
      </w:hyperlink>
      <w:r>
        <w:t xml:space="preserve">, respectively.</w:t>
      </w:r>
      <w:r>
        <w:t xml:space="preserve"> </w:t>
      </w:r>
      <w:r>
        <w:t xml:space="preserve">Linear fits were further investigated via the</w:t>
      </w:r>
      <w:r>
        <w:t xml:space="preserve"> </w:t>
      </w:r>
      <w:r>
        <w:rPr>
          <w:rStyle w:val="VerbatimChar"/>
        </w:rPr>
        <w:t xml:space="preserve">pairwise()</w:t>
      </w:r>
      <w:r>
        <w:t xml:space="preserve"> </w:t>
      </w:r>
      <w:r>
        <w:t xml:space="preserve">function to analyze differences in pairwise statistics.</w:t>
      </w:r>
    </w:p>
    <w:bookmarkEnd w:id="137"/>
    <w:bookmarkEnd w:id="138"/>
    <w:bookmarkEnd w:id="139"/>
    <w:bookmarkStart w:id="165" w:name="results"/>
    <w:p>
      <w:pPr>
        <w:pStyle w:val="Heading2"/>
      </w:pPr>
      <w:r>
        <w:t xml:space="preserve">Results</w:t>
      </w:r>
    </w:p>
    <w:bookmarkStart w:id="140" w:name="micro-ct-imaging-data"/>
    <w:p>
      <w:pPr>
        <w:pStyle w:val="Heading3"/>
      </w:pPr>
      <w:r>
        <w:t xml:space="preserve">micro-CT imaging data</w:t>
      </w:r>
    </w:p>
    <w:p>
      <w:pPr>
        <w:pStyle w:val="FirstParagraph"/>
      </w:pPr>
      <w:r>
        <w:t xml:space="preserve">Acquisition and reconstruction of fish datasets were successful and enabled high-throughput processing.</w:t>
      </w:r>
      <w:r>
        <w:t xml:space="preserve"> </w:t>
      </w:r>
      <w:r>
        <w:t xml:space="preserve">A total of 215 unique specimens were scanned in 38 different scans with a total scanning duration of nearly 16 days.</w:t>
      </w:r>
      <w:r>
        <w:t xml:space="preserve"> </w:t>
      </w:r>
      <w:r>
        <w:t xml:space="preserve">We acquired 136838 projections, reconstructed into a total of 154622 reconstructions, resulting in approximately 4000 reconstruction</w:t>
      </w:r>
      <w:r>
        <w:t xml:space="preserve"> </w:t>
      </w:r>
      <w:r>
        <w:rPr>
          <w:rStyle w:val="VerbatimChar"/>
        </w:rPr>
        <w:t xml:space="preserve">png</w:t>
      </w:r>
      <w:r>
        <w:t xml:space="preserve"> </w:t>
      </w:r>
      <w:r>
        <w:t xml:space="preserve">files per scan (N=38).</w:t>
      </w:r>
    </w:p>
    <w:bookmarkEnd w:id="140"/>
    <w:bookmarkStart w:id="146"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completely automated and very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an image processing software in order to manually perform the cropping.</w:t>
      </w:r>
      <w:r>
        <w:t xml:space="preserve"> </w:t>
      </w:r>
      <w:r>
        <w:t xml:space="preserve">Large stacks of images (in other words larger than the available RAM of the available machine) can be loaded as</w:t>
      </w:r>
      <w:r>
        <w:t xml:space="preserve"> </w:t>
      </w:r>
      <w:hyperlink r:id="rId141">
        <w:r>
          <w:rPr>
            <w:rStyle w:val="Hyperlink"/>
          </w:rPr>
          <w:t xml:space="preserve">virtual stacks</w:t>
        </w:r>
      </w:hyperlink>
      <w:r>
        <w:t xml:space="preserve">, but to manually crop the region of each fish from the large scan with the</w:t>
      </w:r>
      <w:r>
        <w:t xml:space="preserve"> </w:t>
      </w:r>
      <w:hyperlink r:id="rId142">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virtual stack and then cropping it down further before writing out the cropped stack.</w:t>
      </w:r>
      <w:r>
        <w:t xml:space="preserve"> </w:t>
      </w:r>
      <w:r>
        <w:t xml:space="preserve">For each encompassing scan this would need to be repeated 6 times (for</w:t>
      </w:r>
      <w:r>
        <w:t xml:space="preserve"> </w:t>
      </w:r>
      <w:r>
        <w:rPr>
          <w:iCs/>
          <w:i/>
        </w:rPr>
        <w:t xml:space="preserve">each</w:t>
      </w:r>
      <w:r>
        <w:t xml:space="preserve"> </w:t>
      </w:r>
      <w:r>
        <w:t xml:space="preserve">of the 6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leads to both reproducible cropped regions and efficiently uses the operator time by eliminating manual cropping steps (see Table</w:t>
      </w:r>
      <w:r>
        <w:t xml:space="preserve"> </w:t>
      </w:r>
      <w:hyperlink w:anchor="tbl:timing">
        <w:r>
          <w:rPr>
            <w:rStyle w:val="Hyperlink"/>
          </w:rPr>
          <w:t xml:space="preserve">1</w:t>
        </w:r>
      </w:hyperlink>
      <w:r>
        <w:t xml:space="preserve">).</w:t>
      </w:r>
    </w:p>
    <w:bookmarkStart w:id="0" w:name="tbl:timing"/>
    <w:bookmarkStart w:id="143" w:name="tbl:timing"/>
    <w:p>
      <w:pPr>
        <w:pStyle w:val="TableCaption"/>
      </w:pPr>
      <w:r>
        <w:t xml:space="preserve">Table 1: Comparison of time estimates between manual and pipeline runs.</w:t>
      </w:r>
      <w:r>
        <w:t xml:space="preserve"> </w:t>
      </w:r>
      <w:r>
        <w:t xml:space="preserve">Note that it would have been completely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a calculated 5 times longer than scanning 6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completely infeasible to scan each fish separately. On average, we scanned 5.66 fish per scan for a total scan time of 15 days, 23 hours, 50 minutes and 24 seconds. The manual scan time per single fish is thus a calculated 5 times longer than scanning 6 fish at a time in a single scan and separating them after the fact. Also note that the manual splitting does not produce the accompanying log file and figures for double-checking as specified below. "/>
      </w:tblPr>
      <w:tblGrid>
        <w:gridCol w:w="3283"/>
        <w:gridCol w:w="1738"/>
        <w:gridCol w:w="1931"/>
        <w:gridCol w:w="965"/>
      </w:tblGrid>
      <w:tr>
        <w:trPr>
          <w:tblHeader w:val="true"/>
        </w:trPr>
        <w:tc>
          <w:tcPr/>
          <w:p>
            <w:pPr>
              <w:pStyle w:val="Compact"/>
              <w:jc w:val="left"/>
            </w:pPr>
            <w:r>
              <w:t xml:space="preserve">Task</w:t>
            </w:r>
          </w:p>
        </w:tc>
        <w:tc>
          <w:tcPr/>
          <w:p>
            <w:pPr>
              <w:pStyle w:val="Compact"/>
              <w:jc w:val="right"/>
            </w:pPr>
            <w:r>
              <w:t xml:space="preserve">Est. Manual Time</w:t>
            </w:r>
          </w:p>
        </w:tc>
        <w:tc>
          <w:tcPr/>
          <w:p>
            <w:pPr>
              <w:pStyle w:val="Compact"/>
              <w:jc w:val="right"/>
            </w:pPr>
            <w:r>
              <w:t xml:space="preserve">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3"/>
    <w:bookmarkEnd w:id="0"/>
    <w:p>
      <w:pPr>
        <w:pStyle w:val="BodyText"/>
      </w:pPr>
      <w:r>
        <w:t xml:space="preserve">Note that the automated extraction process writes intermediate files during the extraction process which facilitate the handling of the data (this process takes about 3 minutes per scan).</w:t>
      </w:r>
      <w:r>
        <w:t xml:space="preserve"> </w:t>
      </w:r>
      <w:r>
        <w:t xml:space="preserve">These files are technically not necessary for the process, but we still accounted for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4">
        <w:r>
          <w:rPr>
            <w:rStyle w:val="Hyperlink"/>
          </w:rPr>
          <w:t xml:space="preserve">direct link for one such log file</w:t>
        </w:r>
      </w:hyperlink>
      <w:r>
        <w:t xml:space="preserve"> </w:t>
      </w:r>
      <w:r>
        <w:t xml:space="preserve">and</w:t>
      </w:r>
      <w:r>
        <w:t xml:space="preserve"> </w:t>
      </w:r>
      <w:hyperlink r:id="rId145">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assessed as specified before.</w:t>
      </w:r>
    </w:p>
    <w:bookmarkEnd w:id="146"/>
    <w:bookmarkStart w:id="147" w:name="thresholding"/>
    <w:p>
      <w:pPr>
        <w:pStyle w:val="Heading3"/>
      </w:pPr>
      <w:r>
        <w:t xml:space="preserve">Thresholding</w:t>
      </w:r>
    </w:p>
    <w:p>
      <w:pPr>
        <w:pStyle w:val="FirstParagraph"/>
      </w:pPr>
      <w:r>
        <w:t xml:space="preserve">The separated fish were segmented based on a simple multi-level Otsu thresholding method.</w:t>
      </w:r>
      <w:r>
        <w:t xml:space="preserve"> </w:t>
      </w:r>
      <w:r>
        <w:t xml:space="preserve">This relatively simple segmentation was sufficient to extract all the features we analyzed further, and we did not have to employ more advanced thresholding methods in our separation pipeline.</w:t>
      </w:r>
      <w:r>
        <w:t xml:space="preserve"> </w:t>
      </w:r>
      <w:r>
        <w:t xml:space="preserve">Selection and individual rendering of the branchial structures takes between 10-15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47"/>
    <w:bookmarkStart w:id="164" w:name="analysis"/>
    <w:p>
      <w:pPr>
        <w:pStyle w:val="Heading3"/>
      </w:pPr>
      <w:r>
        <w:t xml:space="preserve">Analysis</w:t>
      </w:r>
    </w:p>
    <w:p>
      <w:pPr>
        <w:pStyle w:val="FirstParagraph"/>
      </w:pPr>
      <w:r>
        <w:t xml:space="preserve">The speed and quality of these data allow us to study the internal branchial anatomy at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the metric of centroid size or standard length of the fish) were significant but slight, explaining only a small fraction of shape variation (CB1: p = 0.001,</w:t>
      </w:r>
      <w:r>
        <w:t xml:space="preserve"> </w:t>
      </w:r>
      <m:oMath>
        <m:sSup>
          <m:e>
            <m:r>
              <m:t>R</m:t>
            </m:r>
          </m:e>
          <m:sup>
            <m:r>
              <m:t>2</m:t>
            </m:r>
          </m:sup>
        </m:sSup>
      </m:oMath>
      <w:r>
        <w:t xml:space="preserve"> </w:t>
      </w:r>
      <w:r>
        <w:t xml:space="preserve">= 0.03246; CB2: p =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 p = 0.001,</w:t>
      </w:r>
      <w:r>
        <w:t xml:space="preserve"> </w:t>
      </w:r>
      <m:oMath>
        <m:sSup>
          <m:e>
            <m:r>
              <m:t>R</m:t>
            </m:r>
          </m:e>
          <m:sup>
            <m:r>
              <m:t>2</m:t>
            </m:r>
          </m:sup>
        </m:sSup>
      </m:oMath>
      <w:r>
        <w:t xml:space="preserve"> </w:t>
      </w:r>
      <w:r>
        <w:t xml:space="preserve">= 0.09463; CB2: p = 0.001,</w:t>
      </w:r>
      <w:r>
        <w:t xml:space="preserve"> </w:t>
      </w:r>
      <m:oMath>
        <m:sSup>
          <m:e>
            <m:r>
              <m:t>R</m:t>
            </m:r>
          </m:e>
          <m:sup>
            <m:r>
              <m:t>2</m:t>
            </m:r>
          </m:sup>
        </m:sSup>
      </m:oMath>
      <w:r>
        <w:t xml:space="preserve"> </w:t>
      </w:r>
      <w:r>
        <w:t xml:space="preserve">= 0.11039).</w:t>
      </w:r>
      <w:r>
        <w:t xml:space="preserve"> </w:t>
      </w:r>
      <w:r>
        <w:t xml:space="preserve">Nonetheless, variation in the first ceratobranchial was significantly associated with differing ecotypes, although the effect size was small (p = 0.009,</w:t>
      </w:r>
      <w:r>
        <w:t xml:space="preserve"> </w:t>
      </w:r>
      <m:oMath>
        <m:sSup>
          <m:e>
            <m:r>
              <m:t>R</m:t>
            </m:r>
          </m:e>
          <m:sup>
            <m:r>
              <m:t>2</m:t>
            </m:r>
          </m:sup>
        </m:sSup>
      </m:oMath>
      <w:r>
        <w:t xml:space="preserve"> </w:t>
      </w:r>
      <w:r>
        <w:t xml:space="preserve">= 0.02056), with a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1" w:name="fig:pca_cb1"/>
      <w:r>
        <w:drawing>
          <wp:inline>
            <wp:extent cx="5943600" cy="4245428"/>
            <wp:effectExtent b="0" l="0" r="0" t="0"/>
            <wp:docPr descr="Figure 10: PCA of CB1 colored by lake ecotype. Warps are indicated at the extremes of each axis by vectors drawn from a mean shape (red)." title="" id="149" name="Picture"/>
            <a:graphic>
              <a:graphicData uri="http://schemas.openxmlformats.org/drawingml/2006/picture">
                <pic:pic>
                  <pic:nvPicPr>
                    <pic:cNvPr descr="images/PCA_CB1_Plot.png" id="150" name="Picture"/>
                    <pic:cNvPicPr>
                      <a:picLocks noChangeArrowheads="1" noChangeAspect="1"/>
                    </pic:cNvPicPr>
                  </pic:nvPicPr>
                  <pic:blipFill>
                    <a:blip r:embed="rId148"/>
                    <a:stretch>
                      <a:fillRect/>
                    </a:stretch>
                  </pic:blipFill>
                  <pic:spPr bwMode="auto">
                    <a:xfrm>
                      <a:off x="0" y="0"/>
                      <a:ext cx="5943600" cy="4245428"/>
                    </a:xfrm>
                    <a:prstGeom prst="rect">
                      <a:avLst/>
                    </a:prstGeom>
                    <a:noFill/>
                    <a:ln w="9525">
                      <a:noFill/>
                      <a:headEnd/>
                      <a:tailEnd/>
                    </a:ln>
                  </pic:spPr>
                </pic:pic>
              </a:graphicData>
            </a:graphic>
          </wp:inline>
        </w:drawing>
      </w:r>
      <w:bookmarkEnd w:id="151"/>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The second ceratobranchial bone, on the other hand, shows equally small yet significant shifts associated with the ecotype (p =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5" w:name="fig:pca_cb2"/>
      <w:r>
        <w:drawing>
          <wp:inline>
            <wp:extent cx="5943600" cy="4245428"/>
            <wp:effectExtent b="0" l="0" r="0" t="0"/>
            <wp:docPr descr="Figure 11: PCA of CB2 colored by lake ecotype. Warps are indicated at the extremes of each axis by vectors drawn from a mean shape (red)." title="" id="153" name="Picture"/>
            <a:graphic>
              <a:graphicData uri="http://schemas.openxmlformats.org/drawingml/2006/picture">
                <pic:pic>
                  <pic:nvPicPr>
                    <pic:cNvPr descr="images/PCA_CB2_Plot.png" id="154" name="Picture"/>
                    <pic:cNvPicPr>
                      <a:picLocks noChangeArrowheads="1" noChangeAspect="1"/>
                    </pic:cNvPicPr>
                  </pic:nvPicPr>
                  <pic:blipFill>
                    <a:blip r:embed="rId152"/>
                    <a:stretch>
                      <a:fillRect/>
                    </a:stretch>
                  </pic:blipFill>
                  <pic:spPr bwMode="auto">
                    <a:xfrm>
                      <a:off x="0" y="0"/>
                      <a:ext cx="5943600" cy="4245428"/>
                    </a:xfrm>
                    <a:prstGeom prst="rect">
                      <a:avLst/>
                    </a:prstGeom>
                    <a:noFill/>
                    <a:ln w="9525">
                      <a:noFill/>
                      <a:headEnd/>
                      <a:tailEnd/>
                    </a:ln>
                  </pic:spPr>
                </pic:pic>
              </a:graphicData>
            </a:graphic>
          </wp:inline>
        </w:drawing>
      </w:r>
      <w:bookmarkEnd w:id="155"/>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59" w:name="fig:pca_cb1_lake"/>
      <w:r>
        <w:drawing>
          <wp:inline>
            <wp:extent cx="5943600" cy="4245428"/>
            <wp:effectExtent b="0" l="0" r="0" t="0"/>
            <wp:docPr descr="Figure 12: PCA of CB1 colored by individual lake. Benthic lakes are indicated in shades of red and orange, while limnetic lakes are indicated in shades of blue. Warps are indicated at the extremes of each axis by vectors drawn from a mean shape (red)." title="" id="157" name="Picture"/>
            <a:graphic>
              <a:graphicData uri="http://schemas.openxmlformats.org/drawingml/2006/picture">
                <pic:pic>
                  <pic:nvPicPr>
                    <pic:cNvPr descr="images/PCA_CB1_Plot_Lake.png" id="158" name="Picture"/>
                    <pic:cNvPicPr>
                      <a:picLocks noChangeArrowheads="1" noChangeAspect="1"/>
                    </pic:cNvPicPr>
                  </pic:nvPicPr>
                  <pic:blipFill>
                    <a:blip r:embed="rId156"/>
                    <a:stretch>
                      <a:fillRect/>
                    </a:stretch>
                  </pic:blipFill>
                  <pic:spPr bwMode="auto">
                    <a:xfrm>
                      <a:off x="0" y="0"/>
                      <a:ext cx="5943600" cy="4245428"/>
                    </a:xfrm>
                    <a:prstGeom prst="rect">
                      <a:avLst/>
                    </a:prstGeom>
                    <a:noFill/>
                    <a:ln w="9525">
                      <a:noFill/>
                      <a:headEnd/>
                      <a:tailEnd/>
                    </a:ln>
                  </pic:spPr>
                </pic:pic>
              </a:graphicData>
            </a:graphic>
          </wp:inline>
        </w:drawing>
      </w:r>
      <w:bookmarkEnd w:id="159"/>
    </w:p>
    <w:p>
      <w:pPr>
        <w:pStyle w:val="ImageCaption"/>
      </w:pPr>
      <w:r>
        <w:t xml:space="preserve">Figure 12: PCA of CB1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bookmarkStart w:id="0" w:name="fig:pca_cb2_lake"/>
    <w:p>
      <w:pPr>
        <w:pStyle w:val="CaptionedFigure"/>
      </w:pPr>
      <w:bookmarkStart w:id="163" w:name="fig:pca_cb2_lake"/>
      <w:r>
        <w:drawing>
          <wp:inline>
            <wp:extent cx="5943600" cy="4245428"/>
            <wp:effectExtent b="0" l="0" r="0" t="0"/>
            <wp:docPr descr="Figure 13: PCA of CB2 colored by individual lake. Benthic lakes are indicated in shades of red and orange, while limnetic lakes are indicated in shades of blue. Warps are indicated at the extremes of each axis by vectors drawn from a mean shape (red)." title="" id="161" name="Picture"/>
            <a:graphic>
              <a:graphicData uri="http://schemas.openxmlformats.org/drawingml/2006/picture">
                <pic:pic>
                  <pic:nvPicPr>
                    <pic:cNvPr descr="images/PCA_CB2_Plot_Lake.png" id="162" name="Picture"/>
                    <pic:cNvPicPr>
                      <a:picLocks noChangeArrowheads="1" noChangeAspect="1"/>
                    </pic:cNvPicPr>
                  </pic:nvPicPr>
                  <pic:blipFill>
                    <a:blip r:embed="rId160"/>
                    <a:stretch>
                      <a:fillRect/>
                    </a:stretch>
                  </pic:blipFill>
                  <pic:spPr bwMode="auto">
                    <a:xfrm>
                      <a:off x="0" y="0"/>
                      <a:ext cx="5943600" cy="4245428"/>
                    </a:xfrm>
                    <a:prstGeom prst="rect">
                      <a:avLst/>
                    </a:prstGeom>
                    <a:noFill/>
                    <a:ln w="9525">
                      <a:noFill/>
                      <a:headEnd/>
                      <a:tailEnd/>
                    </a:ln>
                  </pic:spPr>
                </pic:pic>
              </a:graphicData>
            </a:graphic>
          </wp:inline>
        </w:drawing>
      </w:r>
      <w:bookmarkEnd w:id="163"/>
    </w:p>
    <w:p>
      <w:pPr>
        <w:pStyle w:val="ImageCaption"/>
      </w:pPr>
      <w:r>
        <w:t xml:space="preserve">Figure 13: PCA of CB2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observed between this lake and all other lakes observed in CB2 and not in CB1 (see</w:t>
      </w:r>
      <w:r>
        <w:t xml:space="preserve"> </w:t>
      </w:r>
      <w:hyperlink w:anchor="supplementary-materials">
        <w:r>
          <w:rPr>
            <w:rStyle w:val="Hyperlink"/>
          </w:rPr>
          <w:t xml:space="preserve">Supplementary Materials</w:t>
        </w:r>
      </w:hyperlink>
      <w:r>
        <w:t xml:space="preserve">).</w:t>
      </w:r>
    </w:p>
    <w:bookmarkEnd w:id="164"/>
    <w:bookmarkEnd w:id="165"/>
    <w:bookmarkStart w:id="169" w:name="discussion"/>
    <w:p>
      <w:pPr>
        <w:pStyle w:val="Heading2"/>
      </w:pPr>
      <w:r>
        <w:t xml:space="preserve">Discussion</w:t>
      </w:r>
    </w:p>
    <w:bookmarkStart w:id="166"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All automated pipeline steps are substantially faster than equivalent manual processing by an expert operator, with minimal active user input.</w:t>
      </w:r>
      <w:r>
        <w:t xml:space="preserve"> </w:t>
      </w:r>
      <w:r>
        <w:t xml:space="preserve">This reproducible pipeline allows for high-throughput sampling and population-scale analysis of stickleback specimens.</w:t>
      </w:r>
    </w:p>
    <w:p>
      <w:pPr>
        <w:pStyle w:val="BodyText"/>
      </w:pPr>
      <w:r>
        <w:t xml:space="preserve">The imaging and separation step is easy to generalize to either other micro-CT setups or other species/specimens.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many other fields.</w:t>
      </w:r>
    </w:p>
    <w:bookmarkEnd w:id="166"/>
    <w:bookmarkStart w:id="167"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shifts in diet—even within the same feeding apparatus.</w:t>
      </w:r>
      <w:r>
        <w:t xml:space="preserve"> </w:t>
      </w:r>
      <w:r>
        <w:t xml:space="preserve">CB1 showed statistically significant differences between benthic and limnetic ecotypes based on linear and pairwise analyses (and PC4, accounting for 4.33% of the variation, appears to capture these differences; see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greater area for muscle attachment, which may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While dietary analyses of these fish are still ongoing, these findings suggest that the South Rolly population may have unique dietary specializations and would be expected to feed differently than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a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 of the first and second ceratobranchial raises the possibility of a modular response to dietary shifts within the branchial basket.</w:t>
      </w:r>
      <w:r>
        <w:t xml:space="preserve"> </w:t>
      </w:r>
      <w:r>
        <w:t xml:space="preserve">Studies treating the branchial basket as a single structure, focusing only on the first ceratobranchial, or investigating only external morphology might potentially miss significant changes in shape and size of these structures—and this pipeline provides a wealth of data with which to perform a follow-up study.</w:t>
      </w:r>
    </w:p>
    <w:bookmarkEnd w:id="167"/>
    <w:bookmarkStart w:id="168" w:name="future-improvements-and-issues"/>
    <w:p>
      <w:pPr>
        <w:pStyle w:val="Heading3"/>
      </w:pPr>
      <w:r>
        <w:t xml:space="preserve">Future improvements and issues</w:t>
      </w:r>
    </w:p>
    <w:p>
      <w:pPr>
        <w:pStyle w:val="FirstParagraph"/>
      </w:pPr>
      <w:r>
        <w:t xml:space="preserve">As with many multi-specimen scanning projects, the scanning parameters can be optimized individually for each scan but not for each individual specimen.</w:t>
      </w:r>
      <w:r>
        <w:t xml:space="preserve"> </w:t>
      </w:r>
      <w:r>
        <w:t xml:space="preserve">In addition, atypically large or dense specimens cause an issue for the holder and the reproducibility across scans.</w:t>
      </w:r>
      <w:r>
        <w:t xml:space="preserve"> </w:t>
      </w:r>
      <w:r>
        <w:t xml:space="preserve">As with most machine learning frameworks, the training dataset must encompass the full range of anatomical variation to prevent segmentation errors.</w:t>
      </w:r>
    </w:p>
    <w:bookmarkEnd w:id="168"/>
    <w:bookmarkEnd w:id="169"/>
    <w:bookmarkStart w:id="170" w:name="conclusion"/>
    <w:p>
      <w:pPr>
        <w:pStyle w:val="Heading2"/>
      </w:pPr>
      <w:r>
        <w:t xml:space="preserve">Conclusion</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on many different micro-CT machines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performs on average 60 times faster than manual segmentation by a skilled operator, and without the inter-operator variability inherent to manually segmenting large numbers of specimens.</w:t>
      </w:r>
      <w:r>
        <w:t xml:space="preserve"> </w:t>
      </w:r>
      <w:r>
        <w:t xml:space="preserve">This brings virtual, non-destructive dissection of internal stickleback anatomy up to parity with hand-dissected methods, if not further.</w:t>
      </w:r>
    </w:p>
    <w:p>
      <w:pPr>
        <w:pStyle w:val="BodyText"/>
      </w:pPr>
      <w:r>
        <w:t xml:space="preserve">Finally, the 3D analysis step of the pipeline allows for insights from 3D data that cannot be obtained from traditional dissection, including complex shapes and arrangements not possible through destructive sampling approaches.</w:t>
      </w:r>
    </w:p>
    <w:bookmarkEnd w:id="170"/>
    <w:bookmarkStart w:id="186" w:name="author-contributions"/>
    <w:p>
      <w:pPr>
        <w:pStyle w:val="Heading2"/>
      </w:pPr>
      <w:r>
        <w:t xml:space="preserve">Author Contributions</w:t>
      </w:r>
    </w:p>
    <w:p>
      <w:pPr>
        <w:pStyle w:val="FirstParagraph"/>
      </w:pPr>
      <w:hyperlink r:id="rId171">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2">
        <w:r>
          <w:rPr>
            <w:rStyle w:val="Hyperlink"/>
          </w:rPr>
          <w:t xml:space="preserve">Conceptualization</w:t>
        </w:r>
      </w:hyperlink>
      <w:r>
        <w:t xml:space="preserve">: R. Benjamin Sulser, Sheila Christen, Ruslan Hlushchuk</w:t>
      </w:r>
    </w:p>
    <w:p>
      <w:pPr>
        <w:numPr>
          <w:ilvl w:val="0"/>
          <w:numId w:val="1002"/>
        </w:numPr>
        <w:pStyle w:val="Compact"/>
      </w:pPr>
      <w:hyperlink r:id="rId173">
        <w:r>
          <w:rPr>
            <w:rStyle w:val="Hyperlink"/>
          </w:rPr>
          <w:t xml:space="preserve">Data curation</w:t>
        </w:r>
      </w:hyperlink>
      <w:r>
        <w:t xml:space="preserve">: David Haberthür, R. Benjamin Sulser, Sheila Christen</w:t>
      </w:r>
    </w:p>
    <w:p>
      <w:pPr>
        <w:numPr>
          <w:ilvl w:val="0"/>
          <w:numId w:val="1002"/>
        </w:numPr>
        <w:pStyle w:val="Compact"/>
      </w:pPr>
      <w:hyperlink r:id="rId174">
        <w:r>
          <w:rPr>
            <w:rStyle w:val="Hyperlink"/>
          </w:rPr>
          <w:t xml:space="preserve">Formal analysis</w:t>
        </w:r>
      </w:hyperlink>
      <w:r>
        <w:t xml:space="preserve">: David Haberthür, R. Benjamin Sulser, Sheila Christen</w:t>
      </w:r>
    </w:p>
    <w:p>
      <w:pPr>
        <w:numPr>
          <w:ilvl w:val="0"/>
          <w:numId w:val="1002"/>
        </w:numPr>
        <w:pStyle w:val="Compact"/>
      </w:pPr>
      <w:hyperlink r:id="rId175">
        <w:r>
          <w:rPr>
            <w:rStyle w:val="Hyperlink"/>
          </w:rPr>
          <w:t xml:space="preserve">Funding acquisition</w:t>
        </w:r>
      </w:hyperlink>
      <w:r>
        <w:t xml:space="preserve">: R. Benjamin Sulser, Catherine L. Peichel, Ruslan Hlushchuk</w:t>
      </w:r>
    </w:p>
    <w:p>
      <w:pPr>
        <w:numPr>
          <w:ilvl w:val="0"/>
          <w:numId w:val="1002"/>
        </w:numPr>
        <w:pStyle w:val="Compact"/>
      </w:pPr>
      <w:hyperlink r:id="rId176">
        <w:r>
          <w:rPr>
            <w:rStyle w:val="Hyperlink"/>
          </w:rPr>
          <w:t xml:space="preserve">Investigation</w:t>
        </w:r>
      </w:hyperlink>
      <w:r>
        <w:t xml:space="preserve">: David Haberthür, R. Benjamin Sulser, Sheila Christen</w:t>
      </w:r>
    </w:p>
    <w:p>
      <w:pPr>
        <w:numPr>
          <w:ilvl w:val="0"/>
          <w:numId w:val="1002"/>
        </w:numPr>
        <w:pStyle w:val="Compact"/>
      </w:pPr>
      <w:hyperlink r:id="rId177">
        <w:r>
          <w:rPr>
            <w:rStyle w:val="Hyperlink"/>
          </w:rPr>
          <w:t xml:space="preserve">Methodology</w:t>
        </w:r>
      </w:hyperlink>
      <w:r>
        <w:t xml:space="preserve">: David Haberthür, R. Benjamin Sulser, Sheila Christen, Ruslan Hlushchuk</w:t>
      </w:r>
    </w:p>
    <w:p>
      <w:pPr>
        <w:numPr>
          <w:ilvl w:val="0"/>
          <w:numId w:val="1002"/>
        </w:numPr>
        <w:pStyle w:val="Compact"/>
      </w:pPr>
      <w:hyperlink r:id="rId178">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79">
        <w:r>
          <w:rPr>
            <w:rStyle w:val="Hyperlink"/>
          </w:rPr>
          <w:t xml:space="preserve">Resources</w:t>
        </w:r>
      </w:hyperlink>
      <w:r>
        <w:t xml:space="preserve">: R. Benjamin Sulser, Ruslan Hlushchuk</w:t>
      </w:r>
    </w:p>
    <w:p>
      <w:pPr>
        <w:numPr>
          <w:ilvl w:val="0"/>
          <w:numId w:val="1002"/>
        </w:numPr>
        <w:pStyle w:val="Compact"/>
      </w:pPr>
      <w:hyperlink r:id="rId180">
        <w:r>
          <w:rPr>
            <w:rStyle w:val="Hyperlink"/>
          </w:rPr>
          <w:t xml:space="preserve">Software</w:t>
        </w:r>
      </w:hyperlink>
      <w:r>
        <w:t xml:space="preserve">: David Haberthür, R. Benjamin Sulser</w:t>
      </w:r>
    </w:p>
    <w:p>
      <w:pPr>
        <w:numPr>
          <w:ilvl w:val="0"/>
          <w:numId w:val="1002"/>
        </w:numPr>
        <w:pStyle w:val="Compact"/>
      </w:pPr>
      <w:hyperlink r:id="rId181">
        <w:r>
          <w:rPr>
            <w:rStyle w:val="Hyperlink"/>
          </w:rPr>
          <w:t xml:space="preserve">Supervision</w:t>
        </w:r>
      </w:hyperlink>
      <w:r>
        <w:t xml:space="preserve">: R. Benjamin Sulser, Catherine L. Peichel, Ruslan Hlushchuk</w:t>
      </w:r>
    </w:p>
    <w:p>
      <w:pPr>
        <w:numPr>
          <w:ilvl w:val="0"/>
          <w:numId w:val="1002"/>
        </w:numPr>
        <w:pStyle w:val="Compact"/>
      </w:pPr>
      <w:hyperlink r:id="rId182">
        <w:r>
          <w:rPr>
            <w:rStyle w:val="Hyperlink"/>
          </w:rPr>
          <w:t xml:space="preserve">Validation</w:t>
        </w:r>
      </w:hyperlink>
      <w:r>
        <w:t xml:space="preserve">: David Haberthür, R. Benjamin Sulser, Sheila Christen</w:t>
      </w:r>
    </w:p>
    <w:p>
      <w:pPr>
        <w:numPr>
          <w:ilvl w:val="0"/>
          <w:numId w:val="1002"/>
        </w:numPr>
        <w:pStyle w:val="Compact"/>
      </w:pPr>
      <w:hyperlink r:id="rId183">
        <w:r>
          <w:rPr>
            <w:rStyle w:val="Hyperlink"/>
          </w:rPr>
          <w:t xml:space="preserve">Visualization</w:t>
        </w:r>
      </w:hyperlink>
      <w:r>
        <w:t xml:space="preserve">: David Haberthür, R. Benjamin Sulser, Sheila Christen</w:t>
      </w:r>
    </w:p>
    <w:p>
      <w:pPr>
        <w:numPr>
          <w:ilvl w:val="0"/>
          <w:numId w:val="1002"/>
        </w:numPr>
        <w:pStyle w:val="Compact"/>
      </w:pPr>
      <w:hyperlink r:id="rId184">
        <w:r>
          <w:rPr>
            <w:rStyle w:val="Hyperlink"/>
          </w:rPr>
          <w:t xml:space="preserve">Writing – original draft</w:t>
        </w:r>
      </w:hyperlink>
      <w:r>
        <w:t xml:space="preserve">: David Haberthür, R. Benjamin Sulser</w:t>
      </w:r>
    </w:p>
    <w:p>
      <w:pPr>
        <w:numPr>
          <w:ilvl w:val="0"/>
          <w:numId w:val="1002"/>
        </w:numPr>
        <w:pStyle w:val="Compact"/>
      </w:pPr>
      <w:hyperlink r:id="rId185">
        <w:r>
          <w:rPr>
            <w:rStyle w:val="Hyperlink"/>
          </w:rPr>
          <w:t xml:space="preserve">Writing – review &amp; editing</w:t>
        </w:r>
      </w:hyperlink>
      <w:r>
        <w:t xml:space="preserve">: David Haberthür, R. Benjamin Sulser, Sheila Christen, Catherine L. Peichel, Ruslan Hlushchuk</w:t>
      </w:r>
    </w:p>
    <w:bookmarkEnd w:id="186"/>
    <w:bookmarkStart w:id="187"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87"/>
    <w:bookmarkStart w:id="189" w:name="acknowledgments"/>
    <w:p>
      <w:pPr>
        <w:pStyle w:val="Heading2"/>
      </w:pPr>
      <w:r>
        <w:t xml:space="preserve">Acknowledgments</w:t>
      </w:r>
    </w:p>
    <w:p>
      <w:pPr>
        <w:pStyle w:val="FirstParagraph"/>
      </w:pPr>
      <w:r>
        <w:t xml:space="preserve">We are grateful to the</w:t>
      </w:r>
      <w:r>
        <w:t xml:space="preserve"> </w:t>
      </w:r>
      <w:hyperlink r:id="rId188">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89"/>
    <w:bookmarkStart w:id="205" w:name="supplementary-materials"/>
    <w:p>
      <w:pPr>
        <w:pStyle w:val="Heading2"/>
      </w:pPr>
      <w:r>
        <w:t xml:space="preserve">Supplementary Materials</w:t>
      </w:r>
    </w:p>
    <w:bookmarkStart w:id="193" w:name="Xc0e109dd3c7989800a5bfed6523ca252578305b"/>
    <w:p>
      <w:pPr>
        <w:pStyle w:val="Heading3"/>
      </w:pPr>
      <w:r>
        <w:t xml:space="preserve">Parameters of tomographic scans of all the fish</w:t>
      </w:r>
    </w:p>
    <w:p>
      <w:pPr>
        <w:pStyle w:val="FirstParagraph"/>
      </w:pPr>
      <w:r>
        <w:t xml:space="preserve">The CSV file</w:t>
      </w:r>
      <w:r>
        <w:t xml:space="preserve"> </w:t>
      </w:r>
      <w:hyperlink r:id="rId190">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1">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2">
        <w:r>
          <w:rPr>
            <w:rStyle w:val="Hyperlink"/>
          </w:rPr>
          <w:t xml:space="preserve">folder in the data processing repository</w:t>
        </w:r>
      </w:hyperlink>
      <w:r>
        <w:t xml:space="preserve"> </w:t>
      </w:r>
      <w:r>
        <w:t xml:space="preserve">of this project.</w:t>
      </w:r>
    </w:p>
    <w:bookmarkEnd w:id="193"/>
    <w:bookmarkStart w:id="204" w:name="analysis-scripts"/>
    <w:p>
      <w:pPr>
        <w:pStyle w:val="Heading3"/>
      </w:pPr>
      <w:r>
        <w:t xml:space="preserve">Analysis scripts</w:t>
      </w:r>
    </w:p>
    <w:bookmarkStart w:id="196" w:name="Xe3ee3c58ea407ebdb39ae13800f95d01cdf6e28"/>
    <w:p>
      <w:pPr>
        <w:pStyle w:val="Heading4"/>
      </w:pPr>
      <w:r>
        <w:t xml:space="preserve">Jupyter; (pre)processing of tomographic data</w:t>
      </w:r>
    </w:p>
    <w:p>
      <w:pPr>
        <w:pStyle w:val="FirstParagraph"/>
      </w:pPr>
      <w:r>
        <w:t xml:space="preserve">All Jupyter scripts to process the acquired tomographic data as described in the text are found</w:t>
      </w:r>
      <w:r>
        <w:t xml:space="preserve"> </w:t>
      </w:r>
      <w:hyperlink r:id="rId194">
        <w:r>
          <w:rPr>
            <w:rStyle w:val="Hyperlink"/>
          </w:rPr>
          <w:t xml:space="preserve">online at GitHub</w:t>
        </w:r>
      </w:hyperlink>
      <w:r>
        <w:t xml:space="preserve">, and can be easily previewed</w:t>
      </w:r>
      <w:r>
        <w:t xml:space="preserve"> </w:t>
      </w:r>
      <w:hyperlink r:id="rId195">
        <w:r>
          <w:rPr>
            <w:rStyle w:val="Hyperlink"/>
          </w:rPr>
          <w:t xml:space="preserve">online</w:t>
        </w:r>
      </w:hyperlink>
      <w:r>
        <w:t xml:space="preserve">, too.</w:t>
      </w:r>
    </w:p>
    <w:bookmarkEnd w:id="196"/>
    <w:bookmarkStart w:id="198"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197">
        <w:r>
          <w:rPr>
            <w:rStyle w:val="Hyperlink"/>
          </w:rPr>
          <w:t xml:space="preserve">a collection at MorphoSource</w:t>
        </w:r>
      </w:hyperlink>
      <w:r>
        <w:t xml:space="preserve">.</w:t>
      </w:r>
    </w:p>
    <w:bookmarkEnd w:id="198"/>
    <w:bookmarkStart w:id="201" w:name="d-slicer-extraction"/>
    <w:p>
      <w:pPr>
        <w:pStyle w:val="Heading4"/>
      </w:pPr>
      <w:r>
        <w:t xml:space="preserve">3D Slicer; extraction</w:t>
      </w:r>
    </w:p>
    <w:p>
      <w:pPr>
        <w:pStyle w:val="FirstParagraph"/>
      </w:pPr>
      <w:r>
        <w:t xml:space="preserve">The Python script we used to resample curves is found</w:t>
      </w:r>
      <w:r>
        <w:t xml:space="preserve"> </w:t>
      </w:r>
      <w:hyperlink r:id="rId199">
        <w:r>
          <w:rPr>
            <w:rStyle w:val="Hyperlink"/>
          </w:rPr>
          <w:t xml:space="preserve">online at GitHub</w:t>
        </w:r>
      </w:hyperlink>
      <w:r>
        <w:t xml:space="preserve">.</w:t>
      </w:r>
      <w:r>
        <w:t xml:space="preserve"> </w:t>
      </w:r>
      <w:r>
        <w:t xml:space="preserve">The result of the resampling is available</w:t>
      </w:r>
      <w:r>
        <w:t xml:space="preserve"> </w:t>
      </w:r>
      <w:hyperlink r:id="rId200">
        <w:r>
          <w:rPr>
            <w:rStyle w:val="Hyperlink"/>
          </w:rPr>
          <w:t xml:space="preserve">online</w:t>
        </w:r>
      </w:hyperlink>
      <w:r>
        <w:t xml:space="preserve">, too.</w:t>
      </w:r>
    </w:p>
    <w:bookmarkEnd w:id="201"/>
    <w:bookmarkStart w:id="203" w:name="r-morphometrics"/>
    <w:p>
      <w:pPr>
        <w:pStyle w:val="Heading4"/>
      </w:pPr>
      <w:r>
        <w:t xml:space="preserve">R; morphometrics</w:t>
      </w:r>
    </w:p>
    <w:p>
      <w:pPr>
        <w:pStyle w:val="FirstParagraph"/>
      </w:pPr>
      <w:r>
        <w:t xml:space="preserve">The R script we used to assess the morphometrics is found</w:t>
      </w:r>
      <w:r>
        <w:t xml:space="preserve"> </w:t>
      </w:r>
      <w:hyperlink r:id="rId202">
        <w:r>
          <w:rPr>
            <w:rStyle w:val="Hyperlink"/>
          </w:rPr>
          <w:t xml:space="preserve">online at GitHub</w:t>
        </w:r>
      </w:hyperlink>
      <w:r>
        <w:t xml:space="preserve">.</w:t>
      </w:r>
    </w:p>
    <w:bookmarkEnd w:id="203"/>
    <w:bookmarkEnd w:id="204"/>
    <w:bookmarkEnd w:id="205"/>
    <w:bookmarkStart w:id="283" w:name="references"/>
    <w:p>
      <w:pPr>
        <w:pStyle w:val="Heading2"/>
      </w:pPr>
      <w:r>
        <w:t xml:space="preserve">References</w:t>
      </w:r>
    </w:p>
    <w:bookmarkStart w:id="282" w:name="refs"/>
    <w:bookmarkStart w:id="207"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06">
        <w:r>
          <w:rPr>
            <w:rStyle w:val="Hyperlink"/>
          </w:rPr>
          <w:t xml:space="preserve">https://doi.org/10.3789/ansi.niso.z39.104-2022</w:t>
        </w:r>
      </w:hyperlink>
    </w:p>
    <w:bookmarkEnd w:id="207"/>
    <w:bookmarkStart w:id="209" w:name="ref-vVigKiE"/>
    <w:p>
      <w:pPr>
        <w:pStyle w:val="Bibliography"/>
      </w:pPr>
      <w:r>
        <w:t xml:space="preserve">Adams, D., Collyer, M., Kaliontzopoulou, A., &amp; Baken, E. (2012). geomorph: Geometric Morphometric Analyses of 2D and 3D Landmark Data [Dataset]. In</w:t>
      </w:r>
      <w:r>
        <w:t xml:space="preserve"> </w:t>
      </w:r>
      <w:r>
        <w:rPr>
          <w:iCs/>
          <w:i/>
        </w:rPr>
        <w:t xml:space="preserve">CRAN: Contributed Packages</w:t>
      </w:r>
      <w:r>
        <w:t xml:space="preserve">. The R Foundation.</w:t>
      </w:r>
      <w:r>
        <w:t xml:space="preserve"> </w:t>
      </w:r>
      <w:hyperlink r:id="rId208">
        <w:r>
          <w:rPr>
            <w:rStyle w:val="Hyperlink"/>
          </w:rPr>
          <w:t xml:space="preserve">https://doi.org/10.32614/cran.package.geomorph</w:t>
        </w:r>
      </w:hyperlink>
    </w:p>
    <w:bookmarkEnd w:id="209"/>
    <w:bookmarkStart w:id="211"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0">
        <w:r>
          <w:rPr>
            <w:rStyle w:val="Hyperlink"/>
          </w:rPr>
          <w:t xml:space="preserve">https://doi.org/10.1002/evl3.175</w:t>
        </w:r>
      </w:hyperlink>
    </w:p>
    <w:bookmarkEnd w:id="211"/>
    <w:bookmarkStart w:id="213"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12">
        <w:r>
          <w:rPr>
            <w:rStyle w:val="Hyperlink"/>
          </w:rPr>
          <w:t xml:space="preserve">https://doi.org/10.1111/2041-210x.13723</w:t>
        </w:r>
      </w:hyperlink>
    </w:p>
    <w:bookmarkEnd w:id="213"/>
    <w:bookmarkStart w:id="215"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14">
        <w:r>
          <w:rPr>
            <w:rStyle w:val="Hyperlink"/>
          </w:rPr>
          <w:t xml:space="preserve">https://doi.org/10.1093/oso/9780198577287.001.0001</w:t>
        </w:r>
      </w:hyperlink>
    </w:p>
    <w:bookmarkEnd w:id="215"/>
    <w:bookmarkStart w:id="217"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16">
        <w:r>
          <w:rPr>
            <w:rStyle w:val="Hyperlink"/>
          </w:rPr>
          <w:t xml:space="preserve">https://doi.org/10.1111/j.1420-9101.2008.01583.x</w:t>
        </w:r>
      </w:hyperlink>
    </w:p>
    <w:bookmarkEnd w:id="217"/>
    <w:bookmarkStart w:id="219"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18">
        <w:r>
          <w:rPr>
            <w:rStyle w:val="Hyperlink"/>
          </w:rPr>
          <w:t xml:space="preserve">https://doi.org/10.1371/journal.pone.0193874</w:t>
        </w:r>
      </w:hyperlink>
    </w:p>
    <w:bookmarkEnd w:id="219"/>
    <w:bookmarkStart w:id="221"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20">
        <w:r>
          <w:rPr>
            <w:rStyle w:val="Hyperlink"/>
          </w:rPr>
          <w:t xml:space="preserve">https://doi.org/10.1111/2041-210x.13029</w:t>
        </w:r>
      </w:hyperlink>
    </w:p>
    <w:bookmarkEnd w:id="221"/>
    <w:bookmarkStart w:id="223" w:name="ref-1FNzpGn6o"/>
    <w:p>
      <w:pPr>
        <w:pStyle w:val="Bibliography"/>
      </w:pPr>
      <w:r>
        <w:t xml:space="preserve">Collyer, M., &amp; Adams, D. (2018). RRPP: Linear Model Evaluation with Randomized Residuals in a Permutation Procedure [Dataset]. In</w:t>
      </w:r>
      <w:r>
        <w:t xml:space="preserve"> </w:t>
      </w:r>
      <w:r>
        <w:rPr>
          <w:iCs/>
          <w:i/>
        </w:rPr>
        <w:t xml:space="preserve">CRAN: Contributed Packages</w:t>
      </w:r>
      <w:r>
        <w:t xml:space="preserve">. The R Foundation.</w:t>
      </w:r>
      <w:r>
        <w:t xml:space="preserve"> </w:t>
      </w:r>
      <w:hyperlink r:id="rId222">
        <w:r>
          <w:rPr>
            <w:rStyle w:val="Hyperlink"/>
          </w:rPr>
          <w:t xml:space="preserve">https://doi.org/10.32614/cran.package.rrpp</w:t>
        </w:r>
      </w:hyperlink>
    </w:p>
    <w:bookmarkEnd w:id="223"/>
    <w:bookmarkStart w:id="225"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24">
        <w:r>
          <w:rPr>
            <w:rStyle w:val="Hyperlink"/>
          </w:rPr>
          <w:t xml:space="preserve">https://dask.org</w:t>
        </w:r>
      </w:hyperlink>
    </w:p>
    <w:bookmarkEnd w:id="225"/>
    <w:bookmarkStart w:id="227"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26">
        <w:r>
          <w:rPr>
            <w:rStyle w:val="Hyperlink"/>
          </w:rPr>
          <w:t xml:space="preserve">https://doi.org/10.5281/zenodo.18257528</w:t>
        </w:r>
      </w:hyperlink>
    </w:p>
    <w:bookmarkEnd w:id="227"/>
    <w:bookmarkStart w:id="229"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28">
        <w:r>
          <w:rPr>
            <w:rStyle w:val="Hyperlink"/>
          </w:rPr>
          <w:t xml:space="preserve">https://doi.org/10.64898/2026.02.04.699496</w:t>
        </w:r>
      </w:hyperlink>
    </w:p>
    <w:bookmarkEnd w:id="229"/>
    <w:bookmarkStart w:id="231"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30">
        <w:r>
          <w:rPr>
            <w:rStyle w:val="Hyperlink"/>
          </w:rPr>
          <w:t xml:space="preserve">https://doi.org/10.3791/54056</w:t>
        </w:r>
      </w:hyperlink>
    </w:p>
    <w:bookmarkEnd w:id="231"/>
    <w:bookmarkStart w:id="233"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32">
        <w:r>
          <w:rPr>
            <w:rStyle w:val="Hyperlink"/>
          </w:rPr>
          <w:t xml:space="preserve">https://doi.org/10.1093/iob/obad008</w:t>
        </w:r>
      </w:hyperlink>
    </w:p>
    <w:bookmarkEnd w:id="233"/>
    <w:bookmarkStart w:id="235"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34">
        <w:r>
          <w:rPr>
            <w:rStyle w:val="Hyperlink"/>
          </w:rPr>
          <w:t xml:space="preserve">https://doi.org/10.5281/zenodo.2587555</w:t>
        </w:r>
      </w:hyperlink>
    </w:p>
    <w:bookmarkEnd w:id="235"/>
    <w:bookmarkStart w:id="237"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36">
        <w:r>
          <w:rPr>
            <w:rStyle w:val="Hyperlink"/>
          </w:rPr>
          <w:t xml:space="preserve">https://doi.org/10.1002/ece3.6929</w:t>
        </w:r>
      </w:hyperlink>
    </w:p>
    <w:bookmarkEnd w:id="237"/>
    <w:bookmarkStart w:id="239"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38">
        <w:r>
          <w:rPr>
            <w:rStyle w:val="Hyperlink"/>
          </w:rPr>
          <w:t xml:space="preserve">https://doi.org/10.1002/ece3.11503</w:t>
        </w:r>
      </w:hyperlink>
    </w:p>
    <w:bookmarkEnd w:id="239"/>
    <w:bookmarkStart w:id="241"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40">
        <w:r>
          <w:rPr>
            <w:rStyle w:val="Hyperlink"/>
          </w:rPr>
          <w:t xml:space="preserve">https://doi.org/10.1111/j.1095-8649.2009.02419.x</w:t>
        </w:r>
      </w:hyperlink>
    </w:p>
    <w:bookmarkEnd w:id="241"/>
    <w:bookmarkStart w:id="243"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42">
        <w:r>
          <w:rPr>
            <w:rStyle w:val="Hyperlink"/>
          </w:rPr>
          <w:t xml:space="preserve">https://doi.org/10.1371/journal.pcbi.1007128</w:t>
        </w:r>
      </w:hyperlink>
    </w:p>
    <w:bookmarkEnd w:id="243"/>
    <w:bookmarkStart w:id="245"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44">
        <w:r>
          <w:rPr>
            <w:rStyle w:val="Hyperlink"/>
          </w:rPr>
          <w:t xml:space="preserve">https://doi.org/10.1007/978-1-4614-7657-3_19</w:t>
        </w:r>
      </w:hyperlink>
    </w:p>
    <w:bookmarkEnd w:id="245"/>
    <w:bookmarkStart w:id="247"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46">
        <w:r>
          <w:rPr>
            <w:rStyle w:val="Hyperlink"/>
          </w:rPr>
          <w:t xml:space="preserve">https://doi.org/10.3233/978-1-61499-649-1-87</w:t>
        </w:r>
      </w:hyperlink>
    </w:p>
    <w:bookmarkEnd w:id="247"/>
    <w:bookmarkStart w:id="249"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48">
        <w:r>
          <w:rPr>
            <w:rStyle w:val="Hyperlink"/>
          </w:rPr>
          <w:t xml:space="preserve">https://doi.org/10.1038/s41467-020-19303-w</w:t>
        </w:r>
      </w:hyperlink>
    </w:p>
    <w:bookmarkEnd w:id="249"/>
    <w:bookmarkStart w:id="251"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50">
        <w:r>
          <w:rPr>
            <w:rStyle w:val="Hyperlink"/>
          </w:rPr>
          <w:t xml:space="preserve">https://doi.org/10.1186/1471-2148-13-277</w:t>
        </w:r>
      </w:hyperlink>
    </w:p>
    <w:bookmarkEnd w:id="251"/>
    <w:bookmarkStart w:id="253"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52">
        <w:r>
          <w:rPr>
            <w:rStyle w:val="Hyperlink"/>
          </w:rPr>
          <w:t xml:space="preserve">https://doi.org/10.2144/000112619</w:t>
        </w:r>
      </w:hyperlink>
    </w:p>
    <w:bookmarkEnd w:id="253"/>
    <w:bookmarkStart w:id="255"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54">
        <w:r>
          <w:rPr>
            <w:rStyle w:val="Hyperlink"/>
          </w:rPr>
          <w:t xml:space="preserve">https://doi.org/10.5281/zenodo.3773450</w:t>
        </w:r>
      </w:hyperlink>
    </w:p>
    <w:bookmarkEnd w:id="255"/>
    <w:bookmarkStart w:id="257" w:name="ref-jxVw2kt2"/>
    <w:p>
      <w:pPr>
        <w:pStyle w:val="Bibliography"/>
      </w:pPr>
      <w:r>
        <w:rPr>
          <w:iCs/>
          <w:i/>
        </w:rPr>
        <w:t xml:space="preserve">Overview — K3D-jupyter documentation</w:t>
      </w:r>
      <w:r>
        <w:t xml:space="preserve">. (n.d.). Retrieved August 25, 2026, from</w:t>
      </w:r>
      <w:r>
        <w:t xml:space="preserve"> </w:t>
      </w:r>
      <w:hyperlink r:id="rId256">
        <w:r>
          <w:rPr>
            <w:rStyle w:val="Hyperlink"/>
          </w:rPr>
          <w:t xml:space="preserve">https://k3d-jupyter.org/</w:t>
        </w:r>
      </w:hyperlink>
    </w:p>
    <w:bookmarkEnd w:id="257"/>
    <w:bookmarkStart w:id="259"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58">
        <w:r>
          <w:rPr>
            <w:rStyle w:val="Hyperlink"/>
          </w:rPr>
          <w:t xml:space="preserve">https://www.R-project.org/</w:t>
        </w:r>
      </w:hyperlink>
    </w:p>
    <w:bookmarkEnd w:id="259"/>
    <w:bookmarkStart w:id="261"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60">
        <w:r>
          <w:rPr>
            <w:rStyle w:val="Hyperlink"/>
          </w:rPr>
          <w:t xml:space="preserve">https://doi.org/10.1186/s12915-020-0753-2</w:t>
        </w:r>
      </w:hyperlink>
    </w:p>
    <w:bookmarkEnd w:id="261"/>
    <w:bookmarkStart w:id="263"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62">
        <w:r>
          <w:rPr>
            <w:rStyle w:val="Hyperlink"/>
          </w:rPr>
          <w:t xml:space="preserve">https://doi.org/10.1146/annurev-genom-111720-081402</w:t>
        </w:r>
      </w:hyperlink>
    </w:p>
    <w:bookmarkEnd w:id="263"/>
    <w:bookmarkStart w:id="265"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64">
        <w:r>
          <w:rPr>
            <w:rStyle w:val="Hyperlink"/>
          </w:rPr>
          <w:t xml:space="preserve">https://doi.org/10.1111/2041-210x.13669</w:t>
        </w:r>
      </w:hyperlink>
    </w:p>
    <w:bookmarkEnd w:id="265"/>
    <w:bookmarkStart w:id="267"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66">
        <w:r>
          <w:rPr>
            <w:rStyle w:val="Hyperlink"/>
          </w:rPr>
          <w:t xml:space="preserve">https://doi.org/10.1038/nmeth.2019</w:t>
        </w:r>
      </w:hyperlink>
    </w:p>
    <w:bookmarkEnd w:id="267"/>
    <w:bookmarkStart w:id="269"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68">
        <w:r>
          <w:rPr>
            <w:rStyle w:val="Hyperlink"/>
          </w:rPr>
          <w:t xml:space="preserve">https://doi.org/10.1086/285404</w:t>
        </w:r>
      </w:hyperlink>
    </w:p>
    <w:bookmarkEnd w:id="269"/>
    <w:bookmarkStart w:id="271"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Nagineni, V. (2026).</w:t>
      </w:r>
      <w:r>
        <w:t xml:space="preserve"> </w:t>
      </w:r>
      <w:r>
        <w:rPr>
          <w:iCs/>
          <w:i/>
        </w:rPr>
        <w:t xml:space="preserve">napari: a multi-dimensional image viewer for Python</w:t>
      </w:r>
      <w:r>
        <w:t xml:space="preserve"> </w:t>
      </w:r>
      <w:r>
        <w:t xml:space="preserve">(Version v0.9.0rc2) [Computer software]. Zenodo.</w:t>
      </w:r>
      <w:r>
        <w:t xml:space="preserve"> </w:t>
      </w:r>
      <w:hyperlink r:id="rId270">
        <w:r>
          <w:rPr>
            <w:rStyle w:val="Hyperlink"/>
          </w:rPr>
          <w:t xml:space="preserve">https://doi.org/10.5281/zenodo.3555620</w:t>
        </w:r>
      </w:hyperlink>
    </w:p>
    <w:bookmarkEnd w:id="271"/>
    <w:bookmarkStart w:id="273"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72">
        <w:r>
          <w:rPr>
            <w:rStyle w:val="Hyperlink"/>
          </w:rPr>
          <w:t xml:space="preserve">https://www.stratovan.com/products/checkpoint</w:t>
        </w:r>
      </w:hyperlink>
    </w:p>
    <w:bookmarkEnd w:id="273"/>
    <w:bookmarkStart w:id="275"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74">
        <w:r>
          <w:rPr>
            <w:rStyle w:val="Hyperlink"/>
          </w:rPr>
          <w:t xml:space="preserve">https://doi.org/10.1007/s10228-004-0251-5</w:t>
        </w:r>
      </w:hyperlink>
    </w:p>
    <w:bookmarkEnd w:id="275"/>
    <w:bookmarkStart w:id="277"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76">
        <w:r>
          <w:rPr>
            <w:rStyle w:val="Hyperlink"/>
          </w:rPr>
          <w:t xml:space="preserve">https://orbi.uliege.be/handle/2268/14698</w:t>
        </w:r>
      </w:hyperlink>
    </w:p>
    <w:bookmarkEnd w:id="277"/>
    <w:bookmarkStart w:id="279"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78">
        <w:r>
          <w:rPr>
            <w:rStyle w:val="Hyperlink"/>
          </w:rPr>
          <w:t xml:space="preserve">https://doi.org/10.1111/j.1095-8312.2010.01531.x</w:t>
        </w:r>
      </w:hyperlink>
    </w:p>
    <w:bookmarkEnd w:id="279"/>
    <w:bookmarkStart w:id="281"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80">
        <w:r>
          <w:rPr>
            <w:rStyle w:val="Hyperlink"/>
          </w:rPr>
          <w:t xml:space="preserve">https://doi.org/10.6688/jise.2001.17.5.1</w:t>
        </w:r>
      </w:hyperlink>
    </w:p>
    <w:bookmarkEnd w:id="281"/>
    <w:bookmarkEnd w:id="282"/>
    <w:bookmarkEnd w:id="283"/>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148" Target="media/rId148.png" /><Relationship Type="http://schemas.openxmlformats.org/officeDocument/2006/relationships/image" Id="rId156" Target="media/rId156.png" /><Relationship Type="http://schemas.openxmlformats.org/officeDocument/2006/relationships/image" Id="rId152" Target="media/rId152.png" /><Relationship Type="http://schemas.openxmlformats.org/officeDocument/2006/relationships/image" Id="rId160" Target="media/rId160.png" /><Relationship Type="http://schemas.openxmlformats.org/officeDocument/2006/relationships/image" Id="rId117" Target="media/rId117.png" /><Relationship Type="http://schemas.openxmlformats.org/officeDocument/2006/relationships/image" Id="rId85" Target="media/rId85.png" /><Relationship Type="http://schemas.openxmlformats.org/officeDocument/2006/relationships/image" Id="rId106" Target="media/rId106.png" /><Relationship Type="http://schemas.openxmlformats.org/officeDocument/2006/relationships/image" Id="rId102" Target="media/rId102.png" /><Relationship Type="http://schemas.openxmlformats.org/officeDocument/2006/relationships/image" Id="rId93" Target="media/rId93.png" /><Relationship Type="http://schemas.openxmlformats.org/officeDocument/2006/relationships/image" Id="rId111" Target="media/rId111.png" /><Relationship Type="http://schemas.openxmlformats.org/officeDocument/2006/relationships/image" Id="rId27" Target="media/rId27.svg" /><Relationship Type="http://schemas.openxmlformats.org/officeDocument/2006/relationships/image" Id="rId32" Target="media/rId32.svg" /><Relationship Type="http://schemas.openxmlformats.org/officeDocument/2006/relationships/image" Id="rId22" Target="media/rId22.svg" /><Relationship Type="http://schemas.openxmlformats.org/officeDocument/2006/relationships/image" Id="rId76" Target="media/rId76.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hyperlink" Id="rId171" Target="https://credit.niso.org/" TargetMode="External" /><Relationship Type="http://schemas.openxmlformats.org/officeDocument/2006/relationships/hyperlink" Id="rId172" Target="https://credit.niso.org/contributor-roles/conceptualization/" TargetMode="External" /><Relationship Type="http://schemas.openxmlformats.org/officeDocument/2006/relationships/hyperlink" Id="rId173" Target="https://credit.niso.org/contributor-roles/data-curation/" TargetMode="External" /><Relationship Type="http://schemas.openxmlformats.org/officeDocument/2006/relationships/hyperlink" Id="rId174" Target="https://credit.niso.org/contributor-roles/formal-analysis/" TargetMode="External" /><Relationship Type="http://schemas.openxmlformats.org/officeDocument/2006/relationships/hyperlink" Id="rId175" Target="https://credit.niso.org/contributor-roles/funding-acquisition/" TargetMode="External" /><Relationship Type="http://schemas.openxmlformats.org/officeDocument/2006/relationships/hyperlink" Id="rId176" Target="https://credit.niso.org/contributor-roles/investigation/" TargetMode="External" /><Relationship Type="http://schemas.openxmlformats.org/officeDocument/2006/relationships/hyperlink" Id="rId177" Target="https://credit.niso.org/contributor-roles/methodology/" TargetMode="External" /><Relationship Type="http://schemas.openxmlformats.org/officeDocument/2006/relationships/hyperlink" Id="rId178" Target="https://credit.niso.org/contributor-roles/project-administration/" TargetMode="External" /><Relationship Type="http://schemas.openxmlformats.org/officeDocument/2006/relationships/hyperlink" Id="rId179" Target="https://credit.niso.org/contributor-roles/resources/" TargetMode="External" /><Relationship Type="http://schemas.openxmlformats.org/officeDocument/2006/relationships/hyperlink" Id="rId180" Target="https://credit.niso.org/contributor-roles/software/" TargetMode="External" /><Relationship Type="http://schemas.openxmlformats.org/officeDocument/2006/relationships/hyperlink" Id="rId181" Target="https://credit.niso.org/contributor-roles/supervision/" TargetMode="External" /><Relationship Type="http://schemas.openxmlformats.org/officeDocument/2006/relationships/hyperlink" Id="rId182" Target="https://credit.niso.org/contributor-roles/validation/" TargetMode="External" /><Relationship Type="http://schemas.openxmlformats.org/officeDocument/2006/relationships/hyperlink" Id="rId183" Target="https://credit.niso.org/contributor-roles/visualization/" TargetMode="External" /><Relationship Type="http://schemas.openxmlformats.org/officeDocument/2006/relationships/hyperlink" Id="rId184" Target="https://credit.niso.org/contributor-roles/writing---original-draft/" TargetMode="External" /><Relationship Type="http://schemas.openxmlformats.org/officeDocument/2006/relationships/hyperlink" Id="rId185" Target="https://credit.niso.org/contributor-roles/writing---review-&amp;-editing/" TargetMode="External" /><Relationship Type="http://schemas.openxmlformats.org/officeDocument/2006/relationships/hyperlink" Id="rId224" Target="https://dask.org" TargetMode="External" /><Relationship Type="http://schemas.openxmlformats.org/officeDocument/2006/relationships/hyperlink" Id="rId238" Target="https://doi.org/10.1002/ece3.11503" TargetMode="External" /><Relationship Type="http://schemas.openxmlformats.org/officeDocument/2006/relationships/hyperlink" Id="rId236" Target="https://doi.org/10.1002/ece3.6929" TargetMode="External" /><Relationship Type="http://schemas.openxmlformats.org/officeDocument/2006/relationships/hyperlink" Id="rId210" Target="https://doi.org/10.1002/evl3.175" TargetMode="External" /><Relationship Type="http://schemas.openxmlformats.org/officeDocument/2006/relationships/hyperlink" Id="rId244" Target="https://doi.org/10.1007/978-1-4614-7657-3_19" TargetMode="External" /><Relationship Type="http://schemas.openxmlformats.org/officeDocument/2006/relationships/hyperlink" Id="rId274" Target="https://doi.org/10.1007/s10228-004-0251-5" TargetMode="External" /><Relationship Type="http://schemas.openxmlformats.org/officeDocument/2006/relationships/hyperlink" Id="rId266" Target="https://doi.org/10.1038/nmeth.2019" TargetMode="External" /><Relationship Type="http://schemas.openxmlformats.org/officeDocument/2006/relationships/hyperlink" Id="rId248" Target="https://doi.org/10.1038/s41467-020-19303-w" TargetMode="External" /><Relationship Type="http://schemas.openxmlformats.org/officeDocument/2006/relationships/hyperlink" Id="rId268" Target="https://doi.org/10.1086/285404" TargetMode="External" /><Relationship Type="http://schemas.openxmlformats.org/officeDocument/2006/relationships/hyperlink" Id="rId232" Target="https://doi.org/10.1093/iob/obad008" TargetMode="External" /><Relationship Type="http://schemas.openxmlformats.org/officeDocument/2006/relationships/hyperlink" Id="rId214" Target="https://doi.org/10.1093/oso/9780198577287.001.0001" TargetMode="External" /><Relationship Type="http://schemas.openxmlformats.org/officeDocument/2006/relationships/hyperlink" Id="rId220" Target="https://doi.org/10.1111/2041-210x.13029" TargetMode="External" /><Relationship Type="http://schemas.openxmlformats.org/officeDocument/2006/relationships/hyperlink" Id="rId264" Target="https://doi.org/10.1111/2041-210x.13669" TargetMode="External" /><Relationship Type="http://schemas.openxmlformats.org/officeDocument/2006/relationships/hyperlink" Id="rId212" Target="https://doi.org/10.1111/2041-210x.13723" TargetMode="External" /><Relationship Type="http://schemas.openxmlformats.org/officeDocument/2006/relationships/hyperlink" Id="rId278" Target="https://doi.org/10.1111/j.1095-8312.2010.01531.x" TargetMode="External" /><Relationship Type="http://schemas.openxmlformats.org/officeDocument/2006/relationships/hyperlink" Id="rId240" Target="https://doi.org/10.1111/j.1095-8649.2009.02419.x" TargetMode="External" /><Relationship Type="http://schemas.openxmlformats.org/officeDocument/2006/relationships/hyperlink" Id="rId216" Target="https://doi.org/10.1111/j.1420-9101.2008.01583.x" TargetMode="External" /><Relationship Type="http://schemas.openxmlformats.org/officeDocument/2006/relationships/hyperlink" Id="rId262" Target="https://doi.org/10.1146/annurev-genom-111720-081402" TargetMode="External" /><Relationship Type="http://schemas.openxmlformats.org/officeDocument/2006/relationships/hyperlink" Id="rId250" Target="https://doi.org/10.1186/1471-2148-13-277" TargetMode="External" /><Relationship Type="http://schemas.openxmlformats.org/officeDocument/2006/relationships/hyperlink" Id="rId260" Target="https://doi.org/10.1186/s12915-020-0753-2" TargetMode="External" /><Relationship Type="http://schemas.openxmlformats.org/officeDocument/2006/relationships/hyperlink" Id="rId242" Target="https://doi.org/10.1371/journal.pcbi.1007128" TargetMode="External" /><Relationship Type="http://schemas.openxmlformats.org/officeDocument/2006/relationships/hyperlink" Id="rId218" Target="https://doi.org/10.1371/journal.pone.0193874" TargetMode="External" /><Relationship Type="http://schemas.openxmlformats.org/officeDocument/2006/relationships/hyperlink" Id="rId252" Target="https://doi.org/10.2144/000112619" TargetMode="External" /><Relationship Type="http://schemas.openxmlformats.org/officeDocument/2006/relationships/hyperlink" Id="rId246" Target="https://doi.org/10.3233/978-1-61499-649-1-87" TargetMode="External" /><Relationship Type="http://schemas.openxmlformats.org/officeDocument/2006/relationships/hyperlink" Id="rId208" Target="https://doi.org/10.32614/cran.package.geomorph" TargetMode="External" /><Relationship Type="http://schemas.openxmlformats.org/officeDocument/2006/relationships/hyperlink" Id="rId222" Target="https://doi.org/10.32614/cran.package.rrpp" TargetMode="External" /><Relationship Type="http://schemas.openxmlformats.org/officeDocument/2006/relationships/hyperlink" Id="rId206" Target="https://doi.org/10.3789/ansi.niso.z39.104-2022" TargetMode="External" /><Relationship Type="http://schemas.openxmlformats.org/officeDocument/2006/relationships/hyperlink" Id="rId230" Target="https://doi.org/10.3791/54056" TargetMode="External" /><Relationship Type="http://schemas.openxmlformats.org/officeDocument/2006/relationships/hyperlink" Id="rId226" Target="https://doi.org/10.5281/zenodo.18257528" TargetMode="External" /><Relationship Type="http://schemas.openxmlformats.org/officeDocument/2006/relationships/hyperlink" Id="rId234" Target="https://doi.org/10.5281/zenodo.2587555" TargetMode="External" /><Relationship Type="http://schemas.openxmlformats.org/officeDocument/2006/relationships/hyperlink" Id="rId270" Target="https://doi.org/10.5281/zenodo.3555620" TargetMode="External" /><Relationship Type="http://schemas.openxmlformats.org/officeDocument/2006/relationships/hyperlink" Id="rId254" Target="https://doi.org/10.5281/zenodo.3773450" TargetMode="External" /><Relationship Type="http://schemas.openxmlformats.org/officeDocument/2006/relationships/hyperlink" Id="rId228" Target="https://doi.org/10.64898/2026.02.04.699496" TargetMode="External" /><Relationship Type="http://schemas.openxmlformats.org/officeDocument/2006/relationships/hyperlink" Id="rId280"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90" Target="https://github.com/habi/stickleback-manuscript/blob/main/content/data/ScanningDetails.csv" TargetMode="External" /><Relationship Type="http://schemas.openxmlformats.org/officeDocument/2006/relationships/hyperlink" Id="rId194" Target="https://github.com/habi/sticklebacks" TargetMode="External" /><Relationship Type="http://schemas.openxmlformats.org/officeDocument/2006/relationships/hyperlink" Id="rId202" Target="https://github.com/habi/sticklebacks-manuscript/blob/main/content/scripts/Morphometrics_RScript.R" TargetMode="External" /><Relationship Type="http://schemas.openxmlformats.org/officeDocument/2006/relationships/hyperlink" Id="rId199"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200" Target="https://github.com/habi/sticklebacks-manuscript/raw/main/content/data/RESAMPLED_curves.zip" TargetMode="External" /><Relationship Type="http://schemas.openxmlformats.org/officeDocument/2006/relationships/hyperlink" Id="rId21" Target="https://github.com/habi/sticklebacks-manuscript/tree/0ebf3633558b98bda4f4856ccf4c7c6ace7ccef4" TargetMode="External" /><Relationship Type="http://schemas.openxmlformats.org/officeDocument/2006/relationships/hyperlink" Id="rId191" Target="https://github.com/habi/sticklebacks/blob/main/DataWrangling.ipynb" TargetMode="External" /><Relationship Type="http://schemas.openxmlformats.org/officeDocument/2006/relationships/hyperlink" Id="rId110" Target="https://github.com/habi/sticklebacks/blob/main/logfiles/BucketOfFish_H/rec_regions/SL.X23.016/SL.X23.016.log" TargetMode="External" /><Relationship Type="http://schemas.openxmlformats.org/officeDocument/2006/relationships/hyperlink" Id="rId145" Target="https://github.com/habi/sticklebacks/blob/main/logfiles/Sticklebucket_10/Sticklebucket_10.rec.Labels.Check.png" TargetMode="External" /><Relationship Type="http://schemas.openxmlformats.org/officeDocument/2006/relationships/hyperlink" Id="rId144" Target="https://github.com/habi/sticklebacks/blob/main/logfiles/Sticklebucket_10/rec_regions/FG.X24.027/FG.X24.027.log" TargetMode="External" /><Relationship Type="http://schemas.openxmlformats.org/officeDocument/2006/relationships/hyperlink" Id="rId90" Target="https://github.com/habi/sticklebacks/blob/main/rsync-sticklebacks.sh" TargetMode="External" /><Relationship Type="http://schemas.openxmlformats.org/officeDocument/2006/relationships/hyperlink" Id="rId192"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0ebf3633558b98bda4f4856ccf4c7c6ace7ccef4/" TargetMode="External" /><Relationship Type="http://schemas.openxmlformats.org/officeDocument/2006/relationships/hyperlink" Id="rId116" Target="https://htmlpreview.github.io/?https://raw.githubusercontent.com/habi/sticklebacks-manuscript/refs/heads/main/content/data/SL.X23.012.3D.html" TargetMode="External" /><Relationship Type="http://schemas.openxmlformats.org/officeDocument/2006/relationships/hyperlink" Id="rId92" Target="https://image.dask.org/en/latest/dask_image.imread.html" TargetMode="External" /><Relationship Type="http://schemas.openxmlformats.org/officeDocument/2006/relationships/hyperlink" Id="rId141" Target="https://imagej.net/ij/plugins/virtual-opener.html" TargetMode="External" /><Relationship Type="http://schemas.openxmlformats.org/officeDocument/2006/relationships/hyperlink" Id="rId256"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8" Target="https://mic.unibe.ch/" TargetMode="External" /><Relationship Type="http://schemas.openxmlformats.org/officeDocument/2006/relationships/hyperlink" Id="rId98" Target="https://nbviewer.org/github/habi/sticklebacks/blob/main/BucketSeparator.ipynb" TargetMode="External" /><Relationship Type="http://schemas.openxmlformats.org/officeDocument/2006/relationships/hyperlink" Id="rId91" Target="https://nbviewer.org/github/habi/sticklebacks/blob/main/PreviewScans.ipynb" TargetMode="External" /><Relationship Type="http://schemas.openxmlformats.org/officeDocument/2006/relationships/hyperlink" Id="rId195"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76"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100" Target="https://scikit-image.org/docs/stable/api/skimage.measure.html#skimage.measure.label" TargetMode="External" /><Relationship Type="http://schemas.openxmlformats.org/officeDocument/2006/relationships/hyperlink" Id="rId101" Target="https://scikit-image.org/docs/stable/api/skimage.measure.html#skimage.measure.regionprops" TargetMode="External" /><Relationship Type="http://schemas.openxmlformats.org/officeDocument/2006/relationships/hyperlink" Id="rId135" Target="https://search.r-project.org/CRAN/refmans/geomorph/html/gm.prcomp.html" TargetMode="External" /><Relationship Type="http://schemas.openxmlformats.org/officeDocument/2006/relationships/hyperlink" Id="rId134" Target="https://search.r-project.org/CRAN/refmans/geomorph/html/gpagen.html" TargetMode="External" /><Relationship Type="http://schemas.openxmlformats.org/officeDocument/2006/relationships/hyperlink" Id="rId136" Target="https://search.r-project.org/CRAN/refmans/geomorph/html/procD.lm.html" TargetMode="External" /><Relationship Type="http://schemas.openxmlformats.org/officeDocument/2006/relationships/hyperlink" Id="rId115" Target="https://teem.sourceforge.net/nrrd/" TargetMode="External" /><Relationship Type="http://schemas.openxmlformats.org/officeDocument/2006/relationships/hyperlink" Id="rId258"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9" Target="https://www.dask.org/" TargetMode="External" /><Relationship Type="http://schemas.openxmlformats.org/officeDocument/2006/relationships/hyperlink" Id="rId142" Target="https://www.longair.net/edinburgh/imagej/three-pane-crop/" TargetMode="External" /><Relationship Type="http://schemas.openxmlformats.org/officeDocument/2006/relationships/hyperlink" Id="rId197" Target="https://www.morphosource.org/projects/000885106" TargetMode="External" /><Relationship Type="http://schemas.openxmlformats.org/officeDocument/2006/relationships/hyperlink" Id="rId272"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171" Target="https://credit.niso.org/" TargetMode="External" /><Relationship Type="http://schemas.openxmlformats.org/officeDocument/2006/relationships/hyperlink" Id="rId172" Target="https://credit.niso.org/contributor-roles/conceptualization/" TargetMode="External" /><Relationship Type="http://schemas.openxmlformats.org/officeDocument/2006/relationships/hyperlink" Id="rId173" Target="https://credit.niso.org/contributor-roles/data-curation/" TargetMode="External" /><Relationship Type="http://schemas.openxmlformats.org/officeDocument/2006/relationships/hyperlink" Id="rId174" Target="https://credit.niso.org/contributor-roles/formal-analysis/" TargetMode="External" /><Relationship Type="http://schemas.openxmlformats.org/officeDocument/2006/relationships/hyperlink" Id="rId175" Target="https://credit.niso.org/contributor-roles/funding-acquisition/" TargetMode="External" /><Relationship Type="http://schemas.openxmlformats.org/officeDocument/2006/relationships/hyperlink" Id="rId176" Target="https://credit.niso.org/contributor-roles/investigation/" TargetMode="External" /><Relationship Type="http://schemas.openxmlformats.org/officeDocument/2006/relationships/hyperlink" Id="rId177" Target="https://credit.niso.org/contributor-roles/methodology/" TargetMode="External" /><Relationship Type="http://schemas.openxmlformats.org/officeDocument/2006/relationships/hyperlink" Id="rId178" Target="https://credit.niso.org/contributor-roles/project-administration/" TargetMode="External" /><Relationship Type="http://schemas.openxmlformats.org/officeDocument/2006/relationships/hyperlink" Id="rId179" Target="https://credit.niso.org/contributor-roles/resources/" TargetMode="External" /><Relationship Type="http://schemas.openxmlformats.org/officeDocument/2006/relationships/hyperlink" Id="rId180" Target="https://credit.niso.org/contributor-roles/software/" TargetMode="External" /><Relationship Type="http://schemas.openxmlformats.org/officeDocument/2006/relationships/hyperlink" Id="rId181" Target="https://credit.niso.org/contributor-roles/supervision/" TargetMode="External" /><Relationship Type="http://schemas.openxmlformats.org/officeDocument/2006/relationships/hyperlink" Id="rId182" Target="https://credit.niso.org/contributor-roles/validation/" TargetMode="External" /><Relationship Type="http://schemas.openxmlformats.org/officeDocument/2006/relationships/hyperlink" Id="rId183" Target="https://credit.niso.org/contributor-roles/visualization/" TargetMode="External" /><Relationship Type="http://schemas.openxmlformats.org/officeDocument/2006/relationships/hyperlink" Id="rId184" Target="https://credit.niso.org/contributor-roles/writing---original-draft/" TargetMode="External" /><Relationship Type="http://schemas.openxmlformats.org/officeDocument/2006/relationships/hyperlink" Id="rId185" Target="https://credit.niso.org/contributor-roles/writing---review-&amp;-editing/" TargetMode="External" /><Relationship Type="http://schemas.openxmlformats.org/officeDocument/2006/relationships/hyperlink" Id="rId224" Target="https://dask.org" TargetMode="External" /><Relationship Type="http://schemas.openxmlformats.org/officeDocument/2006/relationships/hyperlink" Id="rId238" Target="https://doi.org/10.1002/ece3.11503" TargetMode="External" /><Relationship Type="http://schemas.openxmlformats.org/officeDocument/2006/relationships/hyperlink" Id="rId236" Target="https://doi.org/10.1002/ece3.6929" TargetMode="External" /><Relationship Type="http://schemas.openxmlformats.org/officeDocument/2006/relationships/hyperlink" Id="rId210" Target="https://doi.org/10.1002/evl3.175" TargetMode="External" /><Relationship Type="http://schemas.openxmlformats.org/officeDocument/2006/relationships/hyperlink" Id="rId244" Target="https://doi.org/10.1007/978-1-4614-7657-3_19" TargetMode="External" /><Relationship Type="http://schemas.openxmlformats.org/officeDocument/2006/relationships/hyperlink" Id="rId274" Target="https://doi.org/10.1007/s10228-004-0251-5" TargetMode="External" /><Relationship Type="http://schemas.openxmlformats.org/officeDocument/2006/relationships/hyperlink" Id="rId266" Target="https://doi.org/10.1038/nmeth.2019" TargetMode="External" /><Relationship Type="http://schemas.openxmlformats.org/officeDocument/2006/relationships/hyperlink" Id="rId248" Target="https://doi.org/10.1038/s41467-020-19303-w" TargetMode="External" /><Relationship Type="http://schemas.openxmlformats.org/officeDocument/2006/relationships/hyperlink" Id="rId268" Target="https://doi.org/10.1086/285404" TargetMode="External" /><Relationship Type="http://schemas.openxmlformats.org/officeDocument/2006/relationships/hyperlink" Id="rId232" Target="https://doi.org/10.1093/iob/obad008" TargetMode="External" /><Relationship Type="http://schemas.openxmlformats.org/officeDocument/2006/relationships/hyperlink" Id="rId214" Target="https://doi.org/10.1093/oso/9780198577287.001.0001" TargetMode="External" /><Relationship Type="http://schemas.openxmlformats.org/officeDocument/2006/relationships/hyperlink" Id="rId220" Target="https://doi.org/10.1111/2041-210x.13029" TargetMode="External" /><Relationship Type="http://schemas.openxmlformats.org/officeDocument/2006/relationships/hyperlink" Id="rId264" Target="https://doi.org/10.1111/2041-210x.13669" TargetMode="External" /><Relationship Type="http://schemas.openxmlformats.org/officeDocument/2006/relationships/hyperlink" Id="rId212" Target="https://doi.org/10.1111/2041-210x.13723" TargetMode="External" /><Relationship Type="http://schemas.openxmlformats.org/officeDocument/2006/relationships/hyperlink" Id="rId278" Target="https://doi.org/10.1111/j.1095-8312.2010.01531.x" TargetMode="External" /><Relationship Type="http://schemas.openxmlformats.org/officeDocument/2006/relationships/hyperlink" Id="rId240" Target="https://doi.org/10.1111/j.1095-8649.2009.02419.x" TargetMode="External" /><Relationship Type="http://schemas.openxmlformats.org/officeDocument/2006/relationships/hyperlink" Id="rId216" Target="https://doi.org/10.1111/j.1420-9101.2008.01583.x" TargetMode="External" /><Relationship Type="http://schemas.openxmlformats.org/officeDocument/2006/relationships/hyperlink" Id="rId262" Target="https://doi.org/10.1146/annurev-genom-111720-081402" TargetMode="External" /><Relationship Type="http://schemas.openxmlformats.org/officeDocument/2006/relationships/hyperlink" Id="rId250" Target="https://doi.org/10.1186/1471-2148-13-277" TargetMode="External" /><Relationship Type="http://schemas.openxmlformats.org/officeDocument/2006/relationships/hyperlink" Id="rId260" Target="https://doi.org/10.1186/s12915-020-0753-2" TargetMode="External" /><Relationship Type="http://schemas.openxmlformats.org/officeDocument/2006/relationships/hyperlink" Id="rId242" Target="https://doi.org/10.1371/journal.pcbi.1007128" TargetMode="External" /><Relationship Type="http://schemas.openxmlformats.org/officeDocument/2006/relationships/hyperlink" Id="rId218" Target="https://doi.org/10.1371/journal.pone.0193874" TargetMode="External" /><Relationship Type="http://schemas.openxmlformats.org/officeDocument/2006/relationships/hyperlink" Id="rId252" Target="https://doi.org/10.2144/000112619" TargetMode="External" /><Relationship Type="http://schemas.openxmlformats.org/officeDocument/2006/relationships/hyperlink" Id="rId246" Target="https://doi.org/10.3233/978-1-61499-649-1-87" TargetMode="External" /><Relationship Type="http://schemas.openxmlformats.org/officeDocument/2006/relationships/hyperlink" Id="rId208" Target="https://doi.org/10.32614/cran.package.geomorph" TargetMode="External" /><Relationship Type="http://schemas.openxmlformats.org/officeDocument/2006/relationships/hyperlink" Id="rId222" Target="https://doi.org/10.32614/cran.package.rrpp" TargetMode="External" /><Relationship Type="http://schemas.openxmlformats.org/officeDocument/2006/relationships/hyperlink" Id="rId206" Target="https://doi.org/10.3789/ansi.niso.z39.104-2022" TargetMode="External" /><Relationship Type="http://schemas.openxmlformats.org/officeDocument/2006/relationships/hyperlink" Id="rId230" Target="https://doi.org/10.3791/54056" TargetMode="External" /><Relationship Type="http://schemas.openxmlformats.org/officeDocument/2006/relationships/hyperlink" Id="rId226" Target="https://doi.org/10.5281/zenodo.18257528" TargetMode="External" /><Relationship Type="http://schemas.openxmlformats.org/officeDocument/2006/relationships/hyperlink" Id="rId234" Target="https://doi.org/10.5281/zenodo.2587555" TargetMode="External" /><Relationship Type="http://schemas.openxmlformats.org/officeDocument/2006/relationships/hyperlink" Id="rId270" Target="https://doi.org/10.5281/zenodo.3555620" TargetMode="External" /><Relationship Type="http://schemas.openxmlformats.org/officeDocument/2006/relationships/hyperlink" Id="rId254" Target="https://doi.org/10.5281/zenodo.3773450" TargetMode="External" /><Relationship Type="http://schemas.openxmlformats.org/officeDocument/2006/relationships/hyperlink" Id="rId228" Target="https://doi.org/10.64898/2026.02.04.699496" TargetMode="External" /><Relationship Type="http://schemas.openxmlformats.org/officeDocument/2006/relationships/hyperlink" Id="rId280"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90" Target="https://github.com/habi/stickleback-manuscript/blob/main/content/data/ScanningDetails.csv" TargetMode="External" /><Relationship Type="http://schemas.openxmlformats.org/officeDocument/2006/relationships/hyperlink" Id="rId194" Target="https://github.com/habi/sticklebacks" TargetMode="External" /><Relationship Type="http://schemas.openxmlformats.org/officeDocument/2006/relationships/hyperlink" Id="rId202" Target="https://github.com/habi/sticklebacks-manuscript/blob/main/content/scripts/Morphometrics_RScript.R" TargetMode="External" /><Relationship Type="http://schemas.openxmlformats.org/officeDocument/2006/relationships/hyperlink" Id="rId199"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200" Target="https://github.com/habi/sticklebacks-manuscript/raw/main/content/data/RESAMPLED_curves.zip" TargetMode="External" /><Relationship Type="http://schemas.openxmlformats.org/officeDocument/2006/relationships/hyperlink" Id="rId21" Target="https://github.com/habi/sticklebacks-manuscript/tree/0ebf3633558b98bda4f4856ccf4c7c6ace7ccef4" TargetMode="External" /><Relationship Type="http://schemas.openxmlformats.org/officeDocument/2006/relationships/hyperlink" Id="rId191" Target="https://github.com/habi/sticklebacks/blob/main/DataWrangling.ipynb" TargetMode="External" /><Relationship Type="http://schemas.openxmlformats.org/officeDocument/2006/relationships/hyperlink" Id="rId110" Target="https://github.com/habi/sticklebacks/blob/main/logfiles/BucketOfFish_H/rec_regions/SL.X23.016/SL.X23.016.log" TargetMode="External" /><Relationship Type="http://schemas.openxmlformats.org/officeDocument/2006/relationships/hyperlink" Id="rId145" Target="https://github.com/habi/sticklebacks/blob/main/logfiles/Sticklebucket_10/Sticklebucket_10.rec.Labels.Check.png" TargetMode="External" /><Relationship Type="http://schemas.openxmlformats.org/officeDocument/2006/relationships/hyperlink" Id="rId144" Target="https://github.com/habi/sticklebacks/blob/main/logfiles/Sticklebucket_10/rec_regions/FG.X24.027/FG.X24.027.log" TargetMode="External" /><Relationship Type="http://schemas.openxmlformats.org/officeDocument/2006/relationships/hyperlink" Id="rId90" Target="https://github.com/habi/sticklebacks/blob/main/rsync-sticklebacks.sh" TargetMode="External" /><Relationship Type="http://schemas.openxmlformats.org/officeDocument/2006/relationships/hyperlink" Id="rId192"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0ebf3633558b98bda4f4856ccf4c7c6ace7ccef4/" TargetMode="External" /><Relationship Type="http://schemas.openxmlformats.org/officeDocument/2006/relationships/hyperlink" Id="rId116" Target="https://htmlpreview.github.io/?https://raw.githubusercontent.com/habi/sticklebacks-manuscript/refs/heads/main/content/data/SL.X23.012.3D.html" TargetMode="External" /><Relationship Type="http://schemas.openxmlformats.org/officeDocument/2006/relationships/hyperlink" Id="rId92" Target="https://image.dask.org/en/latest/dask_image.imread.html" TargetMode="External" /><Relationship Type="http://schemas.openxmlformats.org/officeDocument/2006/relationships/hyperlink" Id="rId141" Target="https://imagej.net/ij/plugins/virtual-opener.html" TargetMode="External" /><Relationship Type="http://schemas.openxmlformats.org/officeDocument/2006/relationships/hyperlink" Id="rId256"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8" Target="https://mic.unibe.ch/" TargetMode="External" /><Relationship Type="http://schemas.openxmlformats.org/officeDocument/2006/relationships/hyperlink" Id="rId98" Target="https://nbviewer.org/github/habi/sticklebacks/blob/main/BucketSeparator.ipynb" TargetMode="External" /><Relationship Type="http://schemas.openxmlformats.org/officeDocument/2006/relationships/hyperlink" Id="rId91" Target="https://nbviewer.org/github/habi/sticklebacks/blob/main/PreviewScans.ipynb" TargetMode="External" /><Relationship Type="http://schemas.openxmlformats.org/officeDocument/2006/relationships/hyperlink" Id="rId195"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76"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100" Target="https://scikit-image.org/docs/stable/api/skimage.measure.html#skimage.measure.label" TargetMode="External" /><Relationship Type="http://schemas.openxmlformats.org/officeDocument/2006/relationships/hyperlink" Id="rId101" Target="https://scikit-image.org/docs/stable/api/skimage.measure.html#skimage.measure.regionprops" TargetMode="External" /><Relationship Type="http://schemas.openxmlformats.org/officeDocument/2006/relationships/hyperlink" Id="rId135" Target="https://search.r-project.org/CRAN/refmans/geomorph/html/gm.prcomp.html" TargetMode="External" /><Relationship Type="http://schemas.openxmlformats.org/officeDocument/2006/relationships/hyperlink" Id="rId134" Target="https://search.r-project.org/CRAN/refmans/geomorph/html/gpagen.html" TargetMode="External" /><Relationship Type="http://schemas.openxmlformats.org/officeDocument/2006/relationships/hyperlink" Id="rId136" Target="https://search.r-project.org/CRAN/refmans/geomorph/html/procD.lm.html" TargetMode="External" /><Relationship Type="http://schemas.openxmlformats.org/officeDocument/2006/relationships/hyperlink" Id="rId115" Target="https://teem.sourceforge.net/nrrd/" TargetMode="External" /><Relationship Type="http://schemas.openxmlformats.org/officeDocument/2006/relationships/hyperlink" Id="rId258"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9" Target="https://www.dask.org/" TargetMode="External" /><Relationship Type="http://schemas.openxmlformats.org/officeDocument/2006/relationships/hyperlink" Id="rId142" Target="https://www.longair.net/edinburgh/imagej/three-pane-crop/" TargetMode="External" /><Relationship Type="http://schemas.openxmlformats.org/officeDocument/2006/relationships/hyperlink" Id="rId197" Target="https://www.morphosource.org/projects/000885106" TargetMode="External" /><Relationship Type="http://schemas.openxmlformats.org/officeDocument/2006/relationships/hyperlink" Id="rId272"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2026-08-25T09:02:51Z</dcterms:created>
  <dcterms:modified xsi:type="dcterms:W3CDTF">2026-08-25T09:02:51Z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2026-08-25</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