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9.png" ContentType="image/png"/>
  <Override PartName="/word/media/rId148.png" ContentType="image/png"/>
  <Override PartName="/word/media/rId156.png" ContentType="image/png"/>
  <Override PartName="/word/media/rId152.png" ContentType="image/png"/>
  <Override PartName="/word/media/rId160.png" ContentType="image/png"/>
  <Override PartName="/word/media/rId117.png" ContentType="image/png"/>
  <Override PartName="/word/media/rId85.png" ContentType="image/png"/>
  <Override PartName="/word/media/rId106.png" ContentType="image/png"/>
  <Override PartName="/word/media/rId102.png" ContentType="image/png"/>
  <Override PartName="/word/media/rId93.png" ContentType="image/png"/>
  <Override PartName="/word/media/rId111.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habi/sticklebacks-manuscript@50b1a5e</w:t>
        </w:r>
      </w:hyperlink>
      <w:r>
        <w:t xml:space="preserve"> </w:t>
      </w:r>
      <w:r>
        <w:t xml:space="preserve">on August 21, 2026.</w:t>
      </w:r>
      <w:r>
        <w:t xml:space="preserve"> </w:t>
      </w:r>
      <w:r>
        <w:t xml:space="preserve"> </w:t>
      </w:r>
      <w:r>
        <w:t xml:space="preserve">This version contains 5355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gill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9" w:name="materials-methods"/>
    <w:p>
      <w:pPr>
        <w:pStyle w:val="Heading2"/>
      </w:pPr>
      <w:r>
        <w:t xml:space="preserve">Materials &amp; Methods</w:t>
      </w:r>
    </w:p>
    <w:bookmarkStart w:id="0" w:name="fig:workflow"/>
    <w:p>
      <w:pPr>
        <w:pStyle w:val="CaptionedFigure"/>
      </w:pPr>
      <w:bookmarkStart w:id="79" w:name="fig:workflow"/>
      <w:r>
        <w:drawing>
          <wp:inline>
            <wp:extent cx="5943600" cy="699327"/>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699327"/>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were: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9"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the sticklebacks in batches of six fish in a custom-made 3D-printed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88"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 for this scan." title="" id="86" name="Picture"/>
            <a:graphic>
              <a:graphicData uri="http://schemas.openxmlformats.org/drawingml/2006/picture">
                <pic:pic>
                  <pic:nvPicPr>
                    <pic:cNvPr descr="images/Sticklebucket_H.rec.3D.png" id="87" name="Picture"/>
                    <pic:cNvPicPr>
                      <a:picLocks noChangeArrowheads="1" noChangeAspect="1"/>
                    </pic:cNvPicPr>
                  </pic:nvPicPr>
                  <pic:blipFill>
                    <a:blip r:embed="rId85"/>
                    <a:stretch>
                      <a:fillRect/>
                    </a:stretch>
                  </pic:blipFill>
                  <pic:spPr bwMode="auto">
                    <a:xfrm>
                      <a:off x="0" y="0"/>
                      <a:ext cx="5943600" cy="5482997"/>
                    </a:xfrm>
                    <a:prstGeom prst="rect">
                      <a:avLst/>
                    </a:prstGeom>
                    <a:noFill/>
                    <a:ln w="9525">
                      <a:noFill/>
                      <a:headEnd/>
                      <a:tailEnd/>
                    </a:ln>
                  </pic:spPr>
                </pic:pic>
              </a:graphicData>
            </a:graphic>
          </wp:inline>
        </w:drawing>
      </w:r>
      <w:bookmarkEnd w:id="88"/>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 for this scan.</w:t>
      </w:r>
    </w:p>
    <w:bookmarkEnd w:id="0"/>
    <w:bookmarkEnd w:id="89"/>
    <w:bookmarkStart w:id="138" w:name="data-analysis"/>
    <w:p>
      <w:pPr>
        <w:pStyle w:val="Heading3"/>
      </w:pPr>
      <w:r>
        <w:t xml:space="preserve">Data analysis</w:t>
      </w:r>
    </w:p>
    <w:bookmarkStart w:id="122"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0">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7" w:name="preview-notebook"/>
    <w:p>
      <w:pPr>
        <w:pStyle w:val="Heading5"/>
      </w:pPr>
      <w:r>
        <w:t xml:space="preserve">Preview notebook</w:t>
      </w:r>
    </w:p>
    <w:p>
      <w:pPr>
        <w:pStyle w:val="FirstParagraph"/>
      </w:pPr>
      <w:r>
        <w:t xml:space="preserve">The</w:t>
      </w:r>
      <w:r>
        <w:t xml:space="preserve"> </w:t>
      </w:r>
      <w:hyperlink r:id="rId91">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2">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6" w:name="fig:mips"/>
      <w:r>
        <w:drawing>
          <wp:inline>
            <wp:extent cx="5943600" cy="2891545"/>
            <wp:effectExtent b="0" l="0" r="0" t="0"/>
            <wp:docPr descr="Figure 3: Maximum intensity projections of one acquired dataset along all three cardinal axes." title="" id="94" name="Picture"/>
            <a:graphic>
              <a:graphicData uri="http://schemas.openxmlformats.org/drawingml/2006/picture">
                <pic:pic>
                  <pic:nvPicPr>
                    <pic:cNvPr descr="images/Sticklebucket_H.rec.MIPs.png" id="95" name="Picture"/>
                    <pic:cNvPicPr>
                      <a:picLocks noChangeArrowheads="1" noChangeAspect="1"/>
                    </pic:cNvPicPr>
                  </pic:nvPicPr>
                  <pic:blipFill>
                    <a:blip r:embed="rId93"/>
                    <a:stretch>
                      <a:fillRect/>
                    </a:stretch>
                  </pic:blipFill>
                  <pic:spPr bwMode="auto">
                    <a:xfrm>
                      <a:off x="0" y="0"/>
                      <a:ext cx="5943600" cy="2891545"/>
                    </a:xfrm>
                    <a:prstGeom prst="rect">
                      <a:avLst/>
                    </a:prstGeom>
                    <a:noFill/>
                    <a:ln w="9525">
                      <a:noFill/>
                      <a:headEnd/>
                      <a:tailEnd/>
                    </a:ln>
                  </pic:spPr>
                </pic:pic>
              </a:graphicData>
            </a:graphic>
          </wp:inline>
        </w:drawing>
      </w:r>
      <w:bookmarkEnd w:id="96"/>
    </w:p>
    <w:p>
      <w:pPr>
        <w:pStyle w:val="ImageCaption"/>
      </w:pPr>
      <w:r>
        <w:t xml:space="preserve">Figure 3: Maximum intensity projections of one acquired dataset along all three cardinal axes.</w:t>
      </w:r>
    </w:p>
    <w:bookmarkEnd w:id="0"/>
    <w:bookmarkEnd w:id="97"/>
    <w:bookmarkStart w:id="121" w:name="separation-notebook"/>
    <w:p>
      <w:pPr>
        <w:pStyle w:val="Heading5"/>
      </w:pPr>
      <w:r>
        <w:t xml:space="preserve">Separation notebook</w:t>
      </w:r>
    </w:p>
    <w:p>
      <w:pPr>
        <w:pStyle w:val="FirstParagraph"/>
      </w:pPr>
      <w:r>
        <w:t xml:space="preserve">The</w:t>
      </w:r>
      <w:r>
        <w:t xml:space="preserve"> </w:t>
      </w:r>
      <w:hyperlink r:id="rId98">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99">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0">
        <w:r>
          <w:rPr>
            <w:rStyle w:val="VerbatimChar"/>
          </w:rPr>
          <w:t xml:space="preserve">skimage.measure.label</w:t>
        </w:r>
      </w:hyperlink>
      <w:r>
        <w:t xml:space="preserve">), we extract both the labels in the custom-made sample holder and the positions of individual fish in the scan (</w:t>
      </w:r>
      <w:hyperlink r:id="rId101">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tailored to the custom sample holder.</w:t>
      </w:r>
    </w:p>
    <w:bookmarkStart w:id="0" w:name="fig:labels"/>
    <w:p>
      <w:pPr>
        <w:pStyle w:val="CaptionedFigure"/>
      </w:pPr>
      <w:bookmarkStart w:id="105"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3" name="Picture"/>
            <a:graphic>
              <a:graphicData uri="http://schemas.openxmlformats.org/drawingml/2006/picture">
                <pic:pic>
                  <pic:nvPicPr>
                    <pic:cNvPr descr="images/Sticklebucket_H.rec.Labels.Detected.png" id="104" name="Picture"/>
                    <pic:cNvPicPr>
                      <a:picLocks noChangeArrowheads="1" noChangeAspect="1"/>
                    </pic:cNvPicPr>
                  </pic:nvPicPr>
                  <pic:blipFill>
                    <a:blip r:embed="rId102"/>
                    <a:stretch>
                      <a:fillRect/>
                    </a:stretch>
                  </pic:blipFill>
                  <pic:spPr bwMode="auto">
                    <a:xfrm>
                      <a:off x="0" y="0"/>
                      <a:ext cx="5943600" cy="3078745"/>
                    </a:xfrm>
                    <a:prstGeom prst="rect">
                      <a:avLst/>
                    </a:prstGeom>
                    <a:noFill/>
                    <a:ln w="9525">
                      <a:noFill/>
                      <a:headEnd/>
                      <a:tailEnd/>
                    </a:ln>
                  </pic:spPr>
                </pic:pic>
              </a:graphicData>
            </a:graphic>
          </wp:inline>
        </w:drawing>
      </w:r>
      <w:bookmarkEnd w:id="105"/>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09" w:name="fig:checking"/>
      <w:r>
        <w:drawing>
          <wp:inline>
            <wp:extent cx="5943600" cy="4696775"/>
            <wp:effectExtent b="0" l="0" r="0" t="0"/>
            <wp:docPr descr="Figure 5: Mapping lab book notes, photos, and detected regions to fish ID." title="" id="107" name="Picture"/>
            <a:graphic>
              <a:graphicData uri="http://schemas.openxmlformats.org/drawingml/2006/picture">
                <pic:pic>
                  <pic:nvPicPr>
                    <pic:cNvPr descr="images/Sticklebucket_H.rec.Labels.Check.png" id="108" name="Picture"/>
                    <pic:cNvPicPr>
                      <a:picLocks noChangeArrowheads="1" noChangeAspect="1"/>
                    </pic:cNvPicPr>
                  </pic:nvPicPr>
                  <pic:blipFill>
                    <a:blip r:embed="rId106"/>
                    <a:stretch>
                      <a:fillRect/>
                    </a:stretch>
                  </pic:blipFill>
                  <pic:spPr bwMode="auto">
                    <a:xfrm>
                      <a:off x="0" y="0"/>
                      <a:ext cx="5943600" cy="4696775"/>
                    </a:xfrm>
                    <a:prstGeom prst="rect">
                      <a:avLst/>
                    </a:prstGeom>
                    <a:noFill/>
                    <a:ln w="9525">
                      <a:noFill/>
                      <a:headEnd/>
                      <a:tailEnd/>
                    </a:ln>
                  </pic:spPr>
                </pic:pic>
              </a:graphicData>
            </a:graphic>
          </wp:inline>
        </w:drawing>
      </w:r>
      <w:bookmarkEnd w:id="109"/>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0">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4"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2" name="Picture"/>
            <a:graphic>
              <a:graphicData uri="http://schemas.openxmlformats.org/drawingml/2006/picture">
                <pic:pic>
                  <pic:nvPicPr>
                    <pic:cNvPr descr="images/Sticklebucket_H.rec.Regions.Check.png" id="113" name="Picture"/>
                    <pic:cNvPicPr>
                      <a:picLocks noChangeArrowheads="1" noChangeAspect="1"/>
                    </pic:cNvPicPr>
                  </pic:nvPicPr>
                  <pic:blipFill>
                    <a:blip r:embed="rId111"/>
                    <a:stretch>
                      <a:fillRect/>
                    </a:stretch>
                  </pic:blipFill>
                  <pic:spPr bwMode="auto">
                    <a:xfrm>
                      <a:off x="0" y="0"/>
                      <a:ext cx="5943600" cy="1892100"/>
                    </a:xfrm>
                    <a:prstGeom prst="rect">
                      <a:avLst/>
                    </a:prstGeom>
                    <a:noFill/>
                    <a:ln w="9525">
                      <a:noFill/>
                      <a:headEnd/>
                      <a:tailEnd/>
                    </a:ln>
                  </pic:spPr>
                </pic:pic>
              </a:graphicData>
            </a:graphic>
          </wp:inline>
        </w:drawing>
      </w:r>
      <w:bookmarkEnd w:id="114"/>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5">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t>
      </w:r>
      <w:r>
        <w:t xml:space="preserve">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6">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0" w:name="fig:SLX23012_3D"/>
      <w:r>
        <w:drawing>
          <wp:inline>
            <wp:extent cx="5943600" cy="3055709"/>
            <wp:effectExtent b="0" l="0" r="0" t="0"/>
            <wp:docPr descr="Figure 7: Three-dimensional visualization of one extracted region. Extracted region (label 1 visible upside-down on the left) at the bottom, automatically thresholded (threshold value: 50) region on top." title="" id="118" name="Picture"/>
            <a:graphic>
              <a:graphicData uri="http://schemas.openxmlformats.org/drawingml/2006/picture">
                <pic:pic>
                  <pic:nvPicPr>
                    <pic:cNvPr descr="images/SL.X23.012.3D.png" id="119" name="Picture"/>
                    <pic:cNvPicPr>
                      <a:picLocks noChangeArrowheads="1" noChangeAspect="1"/>
                    </pic:cNvPicPr>
                  </pic:nvPicPr>
                  <pic:blipFill>
                    <a:blip r:embed="rId117"/>
                    <a:stretch>
                      <a:fillRect/>
                    </a:stretch>
                  </pic:blipFill>
                  <pic:spPr bwMode="auto">
                    <a:xfrm>
                      <a:off x="0" y="0"/>
                      <a:ext cx="5943600" cy="3055709"/>
                    </a:xfrm>
                    <a:prstGeom prst="rect">
                      <a:avLst/>
                    </a:prstGeom>
                    <a:noFill/>
                    <a:ln w="9525">
                      <a:noFill/>
                      <a:headEnd/>
                      <a:tailEnd/>
                    </a:ln>
                  </pic:spPr>
                </pic:pic>
              </a:graphicData>
            </a:graphic>
          </wp:inline>
        </w:drawing>
      </w:r>
      <w:bookmarkEnd w:id="120"/>
    </w:p>
    <w:p>
      <w:pPr>
        <w:pStyle w:val="ImageCaption"/>
      </w:pPr>
      <w:r>
        <w:t xml:space="preserve">Figure 7: Three-dimensional visualization of one extracted region. Extracted region (label 1 visible upside-down on the left) at the bottom, automatically thresholded (threshold value: 50) region on top.</w:t>
      </w:r>
    </w:p>
    <w:bookmarkEnd w:id="0"/>
    <w:bookmarkEnd w:id="121"/>
    <w:bookmarkEnd w:id="122"/>
    <w:bookmarkStart w:id="127"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6"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4" name="Picture"/>
            <a:graphic>
              <a:graphicData uri="http://schemas.openxmlformats.org/drawingml/2006/picture">
                <pic:pic>
                  <pic:nvPicPr>
                    <pic:cNvPr descr="images/Branchial_Figure.png" id="125" name="Picture"/>
                    <pic:cNvPicPr>
                      <a:picLocks noChangeArrowheads="1" noChangeAspect="1"/>
                    </pic:cNvPicPr>
                  </pic:nvPicPr>
                  <pic:blipFill>
                    <a:blip r:embed="rId123"/>
                    <a:stretch>
                      <a:fillRect/>
                    </a:stretch>
                  </pic:blipFill>
                  <pic:spPr bwMode="auto">
                    <a:xfrm>
                      <a:off x="0" y="0"/>
                      <a:ext cx="5943600" cy="3911665"/>
                    </a:xfrm>
                    <a:prstGeom prst="rect">
                      <a:avLst/>
                    </a:prstGeom>
                    <a:noFill/>
                    <a:ln w="9525">
                      <a:noFill/>
                      <a:headEnd/>
                      <a:tailEnd/>
                    </a:ln>
                  </pic:spPr>
                </pic:pic>
              </a:graphicData>
            </a:graphic>
          </wp:inline>
        </w:drawing>
      </w:r>
      <w:bookmarkEnd w:id="126"/>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7"/>
    <w:bookmarkStart w:id="128" w:name="machine-learning-and-model-training"/>
    <w:p>
      <w:pPr>
        <w:pStyle w:val="Heading4"/>
      </w:pPr>
      <w:r>
        <w:t xml:space="preserve">Machine learning and model training</w:t>
      </w:r>
    </w:p>
    <w:p>
      <w:pPr>
        <w:pStyle w:val="FirstParagraph"/>
      </w:pPr>
      <w:r>
        <w:t xml:space="preserve">We passed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with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adjacent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8"/>
    <w:bookmarkStart w:id="133"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2" w:name="fig:landmarks"/>
      <w:r>
        <w:drawing>
          <wp:inline>
            <wp:extent cx="5324315" cy="3724880"/>
            <wp:effectExtent b="0" l="0" r="0" t="0"/>
            <wp:docPr descr="Figure 9: Landmarking shown on dorsal (a) and ventral surfaces (b)." title="" id="130" name="Picture"/>
            <a:graphic>
              <a:graphicData uri="http://schemas.openxmlformats.org/drawingml/2006/picture">
                <pic:pic>
                  <pic:nvPicPr>
                    <pic:cNvPr descr="images/Landmark_Figure.png" id="131" name="Picture"/>
                    <pic:cNvPicPr>
                      <a:picLocks noChangeArrowheads="1" noChangeAspect="1"/>
                    </pic:cNvPicPr>
                  </pic:nvPicPr>
                  <pic:blipFill>
                    <a:blip r:embed="rId129"/>
                    <a:stretch>
                      <a:fillRect/>
                    </a:stretch>
                  </pic:blipFill>
                  <pic:spPr bwMode="auto">
                    <a:xfrm>
                      <a:off x="0" y="0"/>
                      <a:ext cx="5324315" cy="3724880"/>
                    </a:xfrm>
                    <a:prstGeom prst="rect">
                      <a:avLst/>
                    </a:prstGeom>
                    <a:noFill/>
                    <a:ln w="9525">
                      <a:noFill/>
                      <a:headEnd/>
                      <a:tailEnd/>
                    </a:ln>
                  </pic:spPr>
                </pic:pic>
              </a:graphicData>
            </a:graphic>
          </wp:inline>
        </w:drawing>
      </w:r>
      <w:bookmarkEnd w:id="132"/>
    </w:p>
    <w:p>
      <w:pPr>
        <w:pStyle w:val="ImageCaption"/>
      </w:pPr>
      <w:r>
        <w:t xml:space="preserve">Figure 9: Landmarking shown on dorsal (a) and ventral surfaces (b).</w:t>
      </w:r>
    </w:p>
    <w:bookmarkEnd w:id="0"/>
    <w:bookmarkEnd w:id="133"/>
    <w:bookmarkStart w:id="137"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2kwEzoCR">
        <w:r>
          <w:rPr>
            <w:rStyle w:val="Hyperlink"/>
          </w:rPr>
          <w:t xml:space="preserve">Adams &amp; Otárola‐Castillo, 2013</w:t>
        </w:r>
      </w:hyperlink>
      <w:r>
        <w:t xml:space="preserve">)</w:t>
      </w:r>
      <w:r>
        <w:t xml:space="preserve">.</w:t>
      </w:r>
      <w:r>
        <w:t xml:space="preserve"> </w:t>
      </w:r>
      <w:r>
        <w:t xml:space="preserve">Both bones were split and analyzed separately after generalized Procrustes analysis (GPA) using the</w:t>
      </w:r>
      <w:r>
        <w:t xml:space="preserve"> </w:t>
      </w:r>
      <w:hyperlink r:id="rId134">
        <w:r>
          <w:rPr>
            <w:rStyle w:val="VerbatimChar"/>
          </w:rPr>
          <w:t xml:space="preserve">gpagen()</w:t>
        </w:r>
      </w:hyperlink>
      <w:r>
        <w:t xml:space="preserve"> </w:t>
      </w:r>
      <w:r>
        <w:t xml:space="preserve">function, with Principal Component Analysis (PCA) and linear models run with</w:t>
      </w:r>
      <w:r>
        <w:t xml:space="preserve"> </w:t>
      </w:r>
      <w:hyperlink r:id="rId135">
        <w:r>
          <w:rPr>
            <w:rStyle w:val="VerbatimChar"/>
          </w:rPr>
          <w:t xml:space="preserve">gm.prcomp()</w:t>
        </w:r>
      </w:hyperlink>
      <w:r>
        <w:t xml:space="preserve"> </w:t>
      </w:r>
      <w:r>
        <w:t xml:space="preserve">and</w:t>
      </w:r>
      <w:r>
        <w:t xml:space="preserve"> </w:t>
      </w:r>
      <w:hyperlink r:id="rId136">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7"/>
    <w:bookmarkEnd w:id="138"/>
    <w:bookmarkEnd w:id="139"/>
    <w:bookmarkStart w:id="165" w:name="results"/>
    <w:p>
      <w:pPr>
        <w:pStyle w:val="Heading2"/>
      </w:pPr>
      <w:r>
        <w:t xml:space="preserve">Results</w:t>
      </w:r>
    </w:p>
    <w:bookmarkStart w:id="140"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0"/>
    <w:bookmarkStart w:id="146"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1">
        <w:r>
          <w:rPr>
            <w:rStyle w:val="Hyperlink"/>
          </w:rPr>
          <w:t xml:space="preserve">virtual stacks</w:t>
        </w:r>
      </w:hyperlink>
      <w:r>
        <w:t xml:space="preserve">, but to manually crop the region of each fish from the large scan with the</w:t>
      </w:r>
      <w:r>
        <w:t xml:space="preserve"> </w:t>
      </w:r>
      <w:hyperlink r:id="rId142">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3"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3"/>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4">
        <w:r>
          <w:rPr>
            <w:rStyle w:val="Hyperlink"/>
          </w:rPr>
          <w:t xml:space="preserve">direct link for one such log file</w:t>
        </w:r>
      </w:hyperlink>
      <w:r>
        <w:t xml:space="preserve"> </w:t>
      </w:r>
      <w:r>
        <w:t xml:space="preserve">and</w:t>
      </w:r>
      <w:r>
        <w:t xml:space="preserve"> </w:t>
      </w:r>
      <w:hyperlink r:id="rId145">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6"/>
    <w:bookmarkStart w:id="147"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7"/>
    <w:bookmarkStart w:id="164"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1" w:name="fig:pca_cb1"/>
      <w:r>
        <w:drawing>
          <wp:inline>
            <wp:extent cx="5943600" cy="4245428"/>
            <wp:effectExtent b="0" l="0" r="0" t="0"/>
            <wp:docPr descr="Figure 10: PCA of CB1 colored by lake ecotype. Warps are indicated at the extremes of each axis by vectors drawn from a mean shape (red)." title="" id="149" name="Picture"/>
            <a:graphic>
              <a:graphicData uri="http://schemas.openxmlformats.org/drawingml/2006/picture">
                <pic:pic>
                  <pic:nvPicPr>
                    <pic:cNvPr descr="images/PCA_CB1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5" w:name="fig:pca_cb2"/>
      <w:r>
        <w:drawing>
          <wp:inline>
            <wp:extent cx="5943600" cy="4245428"/>
            <wp:effectExtent b="0" l="0" r="0" t="0"/>
            <wp:docPr descr="Figure 11: PCA of CB2 colored by lake ecotype. Warps are indicated at the extremes of each axis by vectors drawn from a mean shape (red)." title="" id="153" name="Picture"/>
            <a:graphic>
              <a:graphicData uri="http://schemas.openxmlformats.org/drawingml/2006/picture">
                <pic:pic>
                  <pic:nvPicPr>
                    <pic:cNvPr descr="images/PCA_CB2_Plot.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59"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1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3"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1" name="Picture"/>
            <a:graphic>
              <a:graphicData uri="http://schemas.openxmlformats.org/drawingml/2006/picture">
                <pic:pic>
                  <pic:nvPicPr>
                    <pic:cNvPr descr="images/PCA_CB2_Plot_Lake.png" id="162" name="Picture"/>
                    <pic:cNvPicPr>
                      <a:picLocks noChangeArrowheads="1" noChangeAspect="1"/>
                    </pic:cNvPicPr>
                  </pic:nvPicPr>
                  <pic:blipFill>
                    <a:blip r:embed="rId160"/>
                    <a:stretch>
                      <a:fillRect/>
                    </a:stretch>
                  </pic:blipFill>
                  <pic:spPr bwMode="auto">
                    <a:xfrm>
                      <a:off x="0" y="0"/>
                      <a:ext cx="5943600" cy="4245428"/>
                    </a:xfrm>
                    <a:prstGeom prst="rect">
                      <a:avLst/>
                    </a:prstGeom>
                    <a:noFill/>
                    <a:ln w="9525">
                      <a:noFill/>
                      <a:headEnd/>
                      <a:tailEnd/>
                    </a:ln>
                  </pic:spPr>
                </pic:pic>
              </a:graphicData>
            </a:graphic>
          </wp:inline>
        </w:drawing>
      </w:r>
      <w:bookmarkEnd w:id="163"/>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4"/>
    <w:bookmarkEnd w:id="165"/>
    <w:bookmarkStart w:id="169" w:name="discussion"/>
    <w:p>
      <w:pPr>
        <w:pStyle w:val="Heading2"/>
      </w:pPr>
      <w:r>
        <w:t xml:space="preserve">Discussion</w:t>
      </w:r>
    </w:p>
    <w:bookmarkStart w:id="166"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6"/>
    <w:bookmarkStart w:id="167"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7"/>
    <w:bookmarkStart w:id="168"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68"/>
    <w:bookmarkEnd w:id="169"/>
    <w:bookmarkStart w:id="170"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0"/>
    <w:bookmarkStart w:id="186" w:name="author-contributions"/>
    <w:p>
      <w:pPr>
        <w:pStyle w:val="Heading2"/>
      </w:pPr>
      <w:r>
        <w:t xml:space="preserve">Author Contributions</w:t>
      </w:r>
    </w:p>
    <w:p>
      <w:pPr>
        <w:pStyle w:val="FirstParagraph"/>
      </w:pPr>
      <w:hyperlink r:id="rId171">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2">
        <w:r>
          <w:rPr>
            <w:rStyle w:val="Hyperlink"/>
          </w:rPr>
          <w:t xml:space="preserve">Conceptualization</w:t>
        </w:r>
      </w:hyperlink>
      <w:r>
        <w:t xml:space="preserve">: R. Benjamin Sulser, Sheila Christen, Ruslan Hlushchuk</w:t>
      </w:r>
    </w:p>
    <w:p>
      <w:pPr>
        <w:numPr>
          <w:ilvl w:val="0"/>
          <w:numId w:val="1002"/>
        </w:numPr>
        <w:pStyle w:val="Compact"/>
      </w:pPr>
      <w:hyperlink r:id="rId173">
        <w:r>
          <w:rPr>
            <w:rStyle w:val="Hyperlink"/>
          </w:rPr>
          <w:t xml:space="preserve">Data curation</w:t>
        </w:r>
      </w:hyperlink>
      <w:r>
        <w:t xml:space="preserve">: David Haberthür, R. Benjamin Sulser, Sheila Christen</w:t>
      </w:r>
    </w:p>
    <w:p>
      <w:pPr>
        <w:numPr>
          <w:ilvl w:val="0"/>
          <w:numId w:val="1002"/>
        </w:numPr>
        <w:pStyle w:val="Compact"/>
      </w:pPr>
      <w:hyperlink r:id="rId174">
        <w:r>
          <w:rPr>
            <w:rStyle w:val="Hyperlink"/>
          </w:rPr>
          <w:t xml:space="preserve">Formal analysis</w:t>
        </w:r>
      </w:hyperlink>
      <w:r>
        <w:t xml:space="preserve">: David Haberthür, R. Benjamin Sulser, Sheila Christen</w:t>
      </w:r>
    </w:p>
    <w:p>
      <w:pPr>
        <w:numPr>
          <w:ilvl w:val="0"/>
          <w:numId w:val="1002"/>
        </w:numPr>
        <w:pStyle w:val="Compact"/>
      </w:pPr>
      <w:hyperlink r:id="rId175">
        <w:r>
          <w:rPr>
            <w:rStyle w:val="Hyperlink"/>
          </w:rPr>
          <w:t xml:space="preserve">Funding acquisition</w:t>
        </w:r>
      </w:hyperlink>
      <w:r>
        <w:t xml:space="preserve">: R. Benjamin Sulser, Catherine L. Peichel, Ruslan Hlushchuk</w:t>
      </w:r>
    </w:p>
    <w:p>
      <w:pPr>
        <w:numPr>
          <w:ilvl w:val="0"/>
          <w:numId w:val="1002"/>
        </w:numPr>
        <w:pStyle w:val="Compact"/>
      </w:pPr>
      <w:hyperlink r:id="rId176">
        <w:r>
          <w:rPr>
            <w:rStyle w:val="Hyperlink"/>
          </w:rPr>
          <w:t xml:space="preserve">Investigation</w:t>
        </w:r>
      </w:hyperlink>
      <w:r>
        <w:t xml:space="preserve">: David Haberthür, R. Benjamin Sulser, Sheila Christen</w:t>
      </w:r>
    </w:p>
    <w:p>
      <w:pPr>
        <w:numPr>
          <w:ilvl w:val="0"/>
          <w:numId w:val="1002"/>
        </w:numPr>
        <w:pStyle w:val="Compact"/>
      </w:pPr>
      <w:hyperlink r:id="rId177">
        <w:r>
          <w:rPr>
            <w:rStyle w:val="Hyperlink"/>
          </w:rPr>
          <w:t xml:space="preserve">Methodology</w:t>
        </w:r>
      </w:hyperlink>
      <w:r>
        <w:t xml:space="preserve">: David Haberthür, R. Benjamin Sulser, Sheila Christen, Ruslan Hlushchuk</w:t>
      </w:r>
    </w:p>
    <w:p>
      <w:pPr>
        <w:numPr>
          <w:ilvl w:val="0"/>
          <w:numId w:val="1002"/>
        </w:numPr>
        <w:pStyle w:val="Compact"/>
      </w:pPr>
      <w:hyperlink r:id="rId178">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9">
        <w:r>
          <w:rPr>
            <w:rStyle w:val="Hyperlink"/>
          </w:rPr>
          <w:t xml:space="preserve">Resources</w:t>
        </w:r>
      </w:hyperlink>
      <w:r>
        <w:t xml:space="preserve">: R. Benjamin Sulser, Ruslan Hlushchuk</w:t>
      </w:r>
    </w:p>
    <w:p>
      <w:pPr>
        <w:numPr>
          <w:ilvl w:val="0"/>
          <w:numId w:val="1002"/>
        </w:numPr>
        <w:pStyle w:val="Compact"/>
      </w:pPr>
      <w:hyperlink r:id="rId180">
        <w:r>
          <w:rPr>
            <w:rStyle w:val="Hyperlink"/>
          </w:rPr>
          <w:t xml:space="preserve">Software</w:t>
        </w:r>
      </w:hyperlink>
      <w:r>
        <w:t xml:space="preserve">: David Haberthür, R. Benjamin Sulser</w:t>
      </w:r>
    </w:p>
    <w:p>
      <w:pPr>
        <w:numPr>
          <w:ilvl w:val="0"/>
          <w:numId w:val="1002"/>
        </w:numPr>
        <w:pStyle w:val="Compact"/>
      </w:pPr>
      <w:hyperlink r:id="rId181">
        <w:r>
          <w:rPr>
            <w:rStyle w:val="Hyperlink"/>
          </w:rPr>
          <w:t xml:space="preserve">Supervision</w:t>
        </w:r>
      </w:hyperlink>
      <w:r>
        <w:t xml:space="preserve">: R. Benjamin Sulser, Catherine L. Peichel, Ruslan Hlushchuk</w:t>
      </w:r>
    </w:p>
    <w:p>
      <w:pPr>
        <w:numPr>
          <w:ilvl w:val="0"/>
          <w:numId w:val="1002"/>
        </w:numPr>
        <w:pStyle w:val="Compact"/>
      </w:pPr>
      <w:hyperlink r:id="rId182">
        <w:r>
          <w:rPr>
            <w:rStyle w:val="Hyperlink"/>
          </w:rPr>
          <w:t xml:space="preserve">Validation</w:t>
        </w:r>
      </w:hyperlink>
      <w:r>
        <w:t xml:space="preserve">: David Haberthür, R. Benjamin Sulser, Sheila Christen</w:t>
      </w:r>
    </w:p>
    <w:p>
      <w:pPr>
        <w:numPr>
          <w:ilvl w:val="0"/>
          <w:numId w:val="1002"/>
        </w:numPr>
        <w:pStyle w:val="Compact"/>
      </w:pPr>
      <w:hyperlink r:id="rId183">
        <w:r>
          <w:rPr>
            <w:rStyle w:val="Hyperlink"/>
          </w:rPr>
          <w:t xml:space="preserve">Visualization</w:t>
        </w:r>
      </w:hyperlink>
      <w:r>
        <w:t xml:space="preserve">: David Haberthür, R. Benjamin Sulser, Sheila Christen</w:t>
      </w:r>
    </w:p>
    <w:p>
      <w:pPr>
        <w:numPr>
          <w:ilvl w:val="0"/>
          <w:numId w:val="1002"/>
        </w:numPr>
        <w:pStyle w:val="Compact"/>
      </w:pPr>
      <w:hyperlink r:id="rId184">
        <w:r>
          <w:rPr>
            <w:rStyle w:val="Hyperlink"/>
          </w:rPr>
          <w:t xml:space="preserve">Writing – original draft</w:t>
        </w:r>
      </w:hyperlink>
      <w:r>
        <w:t xml:space="preserve">: David Haberthür, R. Benjamin Sulser</w:t>
      </w:r>
    </w:p>
    <w:p>
      <w:pPr>
        <w:numPr>
          <w:ilvl w:val="0"/>
          <w:numId w:val="1002"/>
        </w:numPr>
        <w:pStyle w:val="Compact"/>
      </w:pPr>
      <w:hyperlink r:id="rId185">
        <w:r>
          <w:rPr>
            <w:rStyle w:val="Hyperlink"/>
          </w:rPr>
          <w:t xml:space="preserve">Writing – review &amp; editing</w:t>
        </w:r>
      </w:hyperlink>
      <w:r>
        <w:t xml:space="preserve">: David Haberthür, R. Benjamin Sulser, Sheila Christen, Catherine L. Peichel, Ruslan Hlushchuk</w:t>
      </w:r>
    </w:p>
    <w:bookmarkEnd w:id="186"/>
    <w:bookmarkStart w:id="187"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7"/>
    <w:bookmarkStart w:id="189" w:name="acknowledgments"/>
    <w:p>
      <w:pPr>
        <w:pStyle w:val="Heading2"/>
      </w:pPr>
      <w:r>
        <w:t xml:space="preserve">Acknowledgments</w:t>
      </w:r>
    </w:p>
    <w:p>
      <w:pPr>
        <w:pStyle w:val="FirstParagraph"/>
      </w:pPr>
      <w:r>
        <w:t xml:space="preserve">We are grateful to the</w:t>
      </w:r>
      <w:r>
        <w:t xml:space="preserve"> </w:t>
      </w:r>
      <w:hyperlink r:id="rId188">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9"/>
    <w:bookmarkStart w:id="205" w:name="supplementary-materials"/>
    <w:p>
      <w:pPr>
        <w:pStyle w:val="Heading2"/>
      </w:pPr>
      <w:r>
        <w:t xml:space="preserve">Supplementary Materials</w:t>
      </w:r>
    </w:p>
    <w:bookmarkStart w:id="193"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0">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1">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2">
        <w:r>
          <w:rPr>
            <w:rStyle w:val="Hyperlink"/>
          </w:rPr>
          <w:t xml:space="preserve">folder in the data processing repository</w:t>
        </w:r>
      </w:hyperlink>
      <w:r>
        <w:t xml:space="preserve"> </w:t>
      </w:r>
      <w:r>
        <w:t xml:space="preserve">of this project.</w:t>
      </w:r>
    </w:p>
    <w:bookmarkEnd w:id="193"/>
    <w:bookmarkStart w:id="204" w:name="analysis-scripts"/>
    <w:p>
      <w:pPr>
        <w:pStyle w:val="Heading3"/>
      </w:pPr>
      <w:r>
        <w:t xml:space="preserve">Analysis scripts</w:t>
      </w:r>
    </w:p>
    <w:bookmarkStart w:id="196"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4">
        <w:r>
          <w:rPr>
            <w:rStyle w:val="Hyperlink"/>
          </w:rPr>
          <w:t xml:space="preserve">online at GitHub</w:t>
        </w:r>
      </w:hyperlink>
      <w:r>
        <w:t xml:space="preserve">, and can be easily previewed</w:t>
      </w:r>
      <w:r>
        <w:t xml:space="preserve"> </w:t>
      </w:r>
      <w:hyperlink r:id="rId195">
        <w:r>
          <w:rPr>
            <w:rStyle w:val="Hyperlink"/>
          </w:rPr>
          <w:t xml:space="preserve">online</w:t>
        </w:r>
      </w:hyperlink>
      <w:r>
        <w:t xml:space="preserve">, too.</w:t>
      </w:r>
    </w:p>
    <w:bookmarkEnd w:id="196"/>
    <w:bookmarkStart w:id="198"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197">
        <w:r>
          <w:rPr>
            <w:rStyle w:val="Hyperlink"/>
          </w:rPr>
          <w:t xml:space="preserve">a collection at MorphoSource</w:t>
        </w:r>
      </w:hyperlink>
      <w:r>
        <w:t xml:space="preserve">.</w:t>
      </w:r>
    </w:p>
    <w:bookmarkEnd w:id="198"/>
    <w:bookmarkStart w:id="201" w:name="d-slicer-extraction"/>
    <w:p>
      <w:pPr>
        <w:pStyle w:val="Heading4"/>
      </w:pPr>
      <w:r>
        <w:t xml:space="preserve">3D Slicer; extraction</w:t>
      </w:r>
    </w:p>
    <w:p>
      <w:pPr>
        <w:pStyle w:val="FirstParagraph"/>
      </w:pPr>
      <w:r>
        <w:t xml:space="preserve">The Python script we used to resample curves is found</w:t>
      </w:r>
      <w:r>
        <w:t xml:space="preserve"> </w:t>
      </w:r>
      <w:hyperlink r:id="rId199">
        <w:r>
          <w:rPr>
            <w:rStyle w:val="Hyperlink"/>
          </w:rPr>
          <w:t xml:space="preserve">online at GitHub</w:t>
        </w:r>
      </w:hyperlink>
      <w:r>
        <w:t xml:space="preserve">.</w:t>
      </w:r>
      <w:r>
        <w:t xml:space="preserve"> </w:t>
      </w:r>
      <w:r>
        <w:t xml:space="preserve">The result of the resampling is available</w:t>
      </w:r>
      <w:r>
        <w:t xml:space="preserve"> </w:t>
      </w:r>
      <w:hyperlink r:id="rId200">
        <w:r>
          <w:rPr>
            <w:rStyle w:val="Hyperlink"/>
          </w:rPr>
          <w:t xml:space="preserve">online</w:t>
        </w:r>
      </w:hyperlink>
      <w:r>
        <w:t xml:space="preserve">, too.</w:t>
      </w:r>
    </w:p>
    <w:bookmarkEnd w:id="201"/>
    <w:bookmarkStart w:id="203" w:name="r-morphometrics"/>
    <w:p>
      <w:pPr>
        <w:pStyle w:val="Heading4"/>
      </w:pPr>
      <w:r>
        <w:t xml:space="preserve">R; morphometrics</w:t>
      </w:r>
    </w:p>
    <w:p>
      <w:pPr>
        <w:pStyle w:val="FirstParagraph"/>
      </w:pPr>
      <w:r>
        <w:t xml:space="preserve">The R script we used to assess the morphometrics is found</w:t>
      </w:r>
      <w:r>
        <w:t xml:space="preserve"> </w:t>
      </w:r>
      <w:hyperlink r:id="rId202">
        <w:r>
          <w:rPr>
            <w:rStyle w:val="Hyperlink"/>
          </w:rPr>
          <w:t xml:space="preserve">online at GitHub</w:t>
        </w:r>
      </w:hyperlink>
      <w:r>
        <w:t xml:space="preserve">.</w:t>
      </w:r>
    </w:p>
    <w:bookmarkEnd w:id="203"/>
    <w:bookmarkEnd w:id="204"/>
    <w:bookmarkEnd w:id="205"/>
    <w:bookmarkStart w:id="277" w:name="references"/>
    <w:p>
      <w:pPr>
        <w:pStyle w:val="Heading2"/>
      </w:pPr>
      <w:r>
        <w:t xml:space="preserve">References</w:t>
      </w:r>
    </w:p>
    <w:bookmarkStart w:id="276" w:name="refs"/>
    <w:bookmarkStart w:id="207"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6">
        <w:r>
          <w:rPr>
            <w:rStyle w:val="Hyperlink"/>
          </w:rPr>
          <w:t xml:space="preserve">https://doi.org/10.3789/ansi.niso.z39.104-2022</w:t>
        </w:r>
      </w:hyperlink>
    </w:p>
    <w:bookmarkEnd w:id="207"/>
    <w:bookmarkStart w:id="209" w:name="ref-2kwEzoCR"/>
    <w:p>
      <w:pPr>
        <w:pStyle w:val="Bibliography"/>
      </w:pPr>
      <w:r>
        <w:t xml:space="preserve">Adams, D. C., &amp; Otárola‐Castillo, E. (2013). geomorph: an&lt;scp&gt;r&lt;/scp&gt;package for the collection and analysis of geometric morphometric shape data.</w:t>
      </w:r>
      <w:r>
        <w:t xml:space="preserve"> </w:t>
      </w:r>
      <w:r>
        <w:rPr>
          <w:iCs/>
          <w:i/>
        </w:rPr>
        <w:t xml:space="preserve">Methods in Ecology and Evolution</w:t>
      </w:r>
      <w:r>
        <w:t xml:space="preserve">,</w:t>
      </w:r>
      <w:r>
        <w:t xml:space="preserve"> </w:t>
      </w:r>
      <w:r>
        <w:rPr>
          <w:iCs/>
          <w:i/>
        </w:rPr>
        <w:t xml:space="preserve">4</w:t>
      </w:r>
      <w:r>
        <w:t xml:space="preserve">(4), 393–399.</w:t>
      </w:r>
      <w:r>
        <w:t xml:space="preserve"> </w:t>
      </w:r>
      <w:hyperlink r:id="rId208">
        <w:r>
          <w:rPr>
            <w:rStyle w:val="Hyperlink"/>
          </w:rPr>
          <w:t xml:space="preserve">https://doi.org/10.1111/2041-210x.12035</w:t>
        </w:r>
      </w:hyperlink>
    </w:p>
    <w:bookmarkEnd w:id="209"/>
    <w:bookmarkStart w:id="211"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0">
        <w:r>
          <w:rPr>
            <w:rStyle w:val="Hyperlink"/>
          </w:rPr>
          <w:t xml:space="preserve">https://doi.org/10.1002/evl3.175</w:t>
        </w:r>
      </w:hyperlink>
    </w:p>
    <w:bookmarkEnd w:id="211"/>
    <w:bookmarkStart w:id="213"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2">
        <w:r>
          <w:rPr>
            <w:rStyle w:val="Hyperlink"/>
          </w:rPr>
          <w:t xml:space="preserve">https://doi.org/10.1093/oso/9780198577287.001.0001</w:t>
        </w:r>
      </w:hyperlink>
    </w:p>
    <w:bookmarkEnd w:id="213"/>
    <w:bookmarkStart w:id="215"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4">
        <w:r>
          <w:rPr>
            <w:rStyle w:val="Hyperlink"/>
          </w:rPr>
          <w:t xml:space="preserve">https://doi.org/10.1111/j.1420-9101.2008.01583.x</w:t>
        </w:r>
      </w:hyperlink>
    </w:p>
    <w:bookmarkEnd w:id="215"/>
    <w:bookmarkStart w:id="217"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6">
        <w:r>
          <w:rPr>
            <w:rStyle w:val="Hyperlink"/>
          </w:rPr>
          <w:t xml:space="preserve">https://doi.org/10.1371/journal.pone.0193874</w:t>
        </w:r>
      </w:hyperlink>
    </w:p>
    <w:bookmarkEnd w:id="217"/>
    <w:bookmarkStart w:id="219"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18">
        <w:r>
          <w:rPr>
            <w:rStyle w:val="Hyperlink"/>
          </w:rPr>
          <w:t xml:space="preserve">https://dask.org</w:t>
        </w:r>
      </w:hyperlink>
    </w:p>
    <w:bookmarkEnd w:id="219"/>
    <w:bookmarkStart w:id="221"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0">
        <w:r>
          <w:rPr>
            <w:rStyle w:val="Hyperlink"/>
          </w:rPr>
          <w:t xml:space="preserve">https://doi.org/10.5281/zenodo.18257528</w:t>
        </w:r>
      </w:hyperlink>
    </w:p>
    <w:bookmarkEnd w:id="221"/>
    <w:bookmarkStart w:id="223"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22">
        <w:r>
          <w:rPr>
            <w:rStyle w:val="Hyperlink"/>
          </w:rPr>
          <w:t xml:space="preserve">https://doi.org/10.64898/2026.02.04.699496</w:t>
        </w:r>
      </w:hyperlink>
    </w:p>
    <w:bookmarkEnd w:id="223"/>
    <w:bookmarkStart w:id="225"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24">
        <w:r>
          <w:rPr>
            <w:rStyle w:val="Hyperlink"/>
          </w:rPr>
          <w:t xml:space="preserve">https://doi.org/10.3791/54056</w:t>
        </w:r>
      </w:hyperlink>
    </w:p>
    <w:bookmarkEnd w:id="225"/>
    <w:bookmarkStart w:id="227"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26">
        <w:r>
          <w:rPr>
            <w:rStyle w:val="Hyperlink"/>
          </w:rPr>
          <w:t xml:space="preserve">https://doi.org/10.1093/iob/obad008</w:t>
        </w:r>
      </w:hyperlink>
    </w:p>
    <w:bookmarkEnd w:id="227"/>
    <w:bookmarkStart w:id="229"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28">
        <w:r>
          <w:rPr>
            <w:rStyle w:val="Hyperlink"/>
          </w:rPr>
          <w:t xml:space="preserve">https://doi.org/10.5281/zenodo.2587555</w:t>
        </w:r>
      </w:hyperlink>
    </w:p>
    <w:bookmarkEnd w:id="229"/>
    <w:bookmarkStart w:id="231"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0">
        <w:r>
          <w:rPr>
            <w:rStyle w:val="Hyperlink"/>
          </w:rPr>
          <w:t xml:space="preserve">https://doi.org/10.1002/ece3.6929</w:t>
        </w:r>
      </w:hyperlink>
    </w:p>
    <w:bookmarkEnd w:id="231"/>
    <w:bookmarkStart w:id="233"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32">
        <w:r>
          <w:rPr>
            <w:rStyle w:val="Hyperlink"/>
          </w:rPr>
          <w:t xml:space="preserve">https://doi.org/10.1002/ece3.11503</w:t>
        </w:r>
      </w:hyperlink>
    </w:p>
    <w:bookmarkEnd w:id="233"/>
    <w:bookmarkStart w:id="235"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34">
        <w:r>
          <w:rPr>
            <w:rStyle w:val="Hyperlink"/>
          </w:rPr>
          <w:t xml:space="preserve">https://doi.org/10.1111/j.1095-8649.2009.02419.x</w:t>
        </w:r>
      </w:hyperlink>
    </w:p>
    <w:bookmarkEnd w:id="235"/>
    <w:bookmarkStart w:id="237"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36">
        <w:r>
          <w:rPr>
            <w:rStyle w:val="Hyperlink"/>
          </w:rPr>
          <w:t xml:space="preserve">https://doi.org/10.1371/journal.pcbi.1007128</w:t>
        </w:r>
      </w:hyperlink>
    </w:p>
    <w:bookmarkEnd w:id="237"/>
    <w:bookmarkStart w:id="239"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38">
        <w:r>
          <w:rPr>
            <w:rStyle w:val="Hyperlink"/>
          </w:rPr>
          <w:t xml:space="preserve">https://doi.org/10.1007/978-1-4614-7657-3_19</w:t>
        </w:r>
      </w:hyperlink>
    </w:p>
    <w:bookmarkEnd w:id="239"/>
    <w:bookmarkStart w:id="241"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0">
        <w:r>
          <w:rPr>
            <w:rStyle w:val="Hyperlink"/>
          </w:rPr>
          <w:t xml:space="preserve">https://doi.org/10.3233/978-1-61499-649-1-87</w:t>
        </w:r>
      </w:hyperlink>
    </w:p>
    <w:bookmarkEnd w:id="241"/>
    <w:bookmarkStart w:id="243"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42">
        <w:r>
          <w:rPr>
            <w:rStyle w:val="Hyperlink"/>
          </w:rPr>
          <w:t xml:space="preserve">https://doi.org/10.1038/s41467-020-19303-w</w:t>
        </w:r>
      </w:hyperlink>
    </w:p>
    <w:bookmarkEnd w:id="243"/>
    <w:bookmarkStart w:id="245"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44">
        <w:r>
          <w:rPr>
            <w:rStyle w:val="Hyperlink"/>
          </w:rPr>
          <w:t xml:space="preserve">https://doi.org/10.1186/1471-2148-13-277</w:t>
        </w:r>
      </w:hyperlink>
    </w:p>
    <w:bookmarkEnd w:id="245"/>
    <w:bookmarkStart w:id="247"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46">
        <w:r>
          <w:rPr>
            <w:rStyle w:val="Hyperlink"/>
          </w:rPr>
          <w:t xml:space="preserve">https://doi.org/10.2144/000112619</w:t>
        </w:r>
      </w:hyperlink>
    </w:p>
    <w:bookmarkEnd w:id="247"/>
    <w:bookmarkStart w:id="249"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48">
        <w:r>
          <w:rPr>
            <w:rStyle w:val="Hyperlink"/>
          </w:rPr>
          <w:t xml:space="preserve">https://doi.org/10.5281/zenodo.3773450</w:t>
        </w:r>
      </w:hyperlink>
    </w:p>
    <w:bookmarkEnd w:id="249"/>
    <w:bookmarkStart w:id="251" w:name="ref-jxVw2kt2"/>
    <w:p>
      <w:pPr>
        <w:pStyle w:val="Bibliography"/>
      </w:pPr>
      <w:r>
        <w:rPr>
          <w:iCs/>
          <w:i/>
        </w:rPr>
        <w:t xml:space="preserve">Overview — K3D-jupyter documentation</w:t>
      </w:r>
      <w:r>
        <w:t xml:space="preserve">. (n.d.). Retrieved August 21, 2026, from</w:t>
      </w:r>
      <w:r>
        <w:t xml:space="preserve"> </w:t>
      </w:r>
      <w:hyperlink r:id="rId250">
        <w:r>
          <w:rPr>
            <w:rStyle w:val="Hyperlink"/>
          </w:rPr>
          <w:t xml:space="preserve">https://k3d-jupyter.org/</w:t>
        </w:r>
      </w:hyperlink>
    </w:p>
    <w:bookmarkEnd w:id="251"/>
    <w:bookmarkStart w:id="253"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52">
        <w:r>
          <w:rPr>
            <w:rStyle w:val="Hyperlink"/>
          </w:rPr>
          <w:t xml:space="preserve">https://www.R-project.org/</w:t>
        </w:r>
      </w:hyperlink>
    </w:p>
    <w:bookmarkEnd w:id="253"/>
    <w:bookmarkStart w:id="255"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54">
        <w:r>
          <w:rPr>
            <w:rStyle w:val="Hyperlink"/>
          </w:rPr>
          <w:t xml:space="preserve">https://doi.org/10.1186/s12915-020-0753-2</w:t>
        </w:r>
      </w:hyperlink>
    </w:p>
    <w:bookmarkEnd w:id="255"/>
    <w:bookmarkStart w:id="257"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56">
        <w:r>
          <w:rPr>
            <w:rStyle w:val="Hyperlink"/>
          </w:rPr>
          <w:t xml:space="preserve">https://doi.org/10.1146/annurev-genom-111720-081402</w:t>
        </w:r>
      </w:hyperlink>
    </w:p>
    <w:bookmarkEnd w:id="257"/>
    <w:bookmarkStart w:id="259"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58">
        <w:r>
          <w:rPr>
            <w:rStyle w:val="Hyperlink"/>
          </w:rPr>
          <w:t xml:space="preserve">https://doi.org/10.1111/2041-210x.13669</w:t>
        </w:r>
      </w:hyperlink>
    </w:p>
    <w:bookmarkEnd w:id="259"/>
    <w:bookmarkStart w:id="261"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0">
        <w:r>
          <w:rPr>
            <w:rStyle w:val="Hyperlink"/>
          </w:rPr>
          <w:t xml:space="preserve">https://doi.org/10.1038/nmeth.2019</w:t>
        </w:r>
      </w:hyperlink>
    </w:p>
    <w:bookmarkEnd w:id="261"/>
    <w:bookmarkStart w:id="263"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62">
        <w:r>
          <w:rPr>
            <w:rStyle w:val="Hyperlink"/>
          </w:rPr>
          <w:t xml:space="preserve">https://doi.org/10.1086/285404</w:t>
        </w:r>
      </w:hyperlink>
    </w:p>
    <w:bookmarkEnd w:id="263"/>
    <w:bookmarkStart w:id="265"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v0.9.0a2) [Computer software]. Zenodo.</w:t>
      </w:r>
      <w:r>
        <w:t xml:space="preserve"> </w:t>
      </w:r>
      <w:hyperlink r:id="rId264">
        <w:r>
          <w:rPr>
            <w:rStyle w:val="Hyperlink"/>
          </w:rPr>
          <w:t xml:space="preserve">https://doi.org/10.5281/zenodo.3555620</w:t>
        </w:r>
      </w:hyperlink>
    </w:p>
    <w:bookmarkEnd w:id="265"/>
    <w:bookmarkStart w:id="267"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66">
        <w:r>
          <w:rPr>
            <w:rStyle w:val="Hyperlink"/>
          </w:rPr>
          <w:t xml:space="preserve">https://www.stratovan.com/products/checkpoint</w:t>
        </w:r>
      </w:hyperlink>
    </w:p>
    <w:bookmarkEnd w:id="267"/>
    <w:bookmarkStart w:id="269"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68">
        <w:r>
          <w:rPr>
            <w:rStyle w:val="Hyperlink"/>
          </w:rPr>
          <w:t xml:space="preserve">https://doi.org/10.1007/s10228-004-0251-5</w:t>
        </w:r>
      </w:hyperlink>
    </w:p>
    <w:bookmarkEnd w:id="269"/>
    <w:bookmarkStart w:id="271"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0">
        <w:r>
          <w:rPr>
            <w:rStyle w:val="Hyperlink"/>
          </w:rPr>
          <w:t xml:space="preserve">https://orbi.uliege.be/handle/2268/14698</w:t>
        </w:r>
      </w:hyperlink>
    </w:p>
    <w:bookmarkEnd w:id="271"/>
    <w:bookmarkStart w:id="273"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72">
        <w:r>
          <w:rPr>
            <w:rStyle w:val="Hyperlink"/>
          </w:rPr>
          <w:t xml:space="preserve">https://doi.org/10.1111/j.1095-8312.2010.01531.x</w:t>
        </w:r>
      </w:hyperlink>
    </w:p>
    <w:bookmarkEnd w:id="273"/>
    <w:bookmarkStart w:id="275"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74">
        <w:r>
          <w:rPr>
            <w:rStyle w:val="Hyperlink"/>
          </w:rPr>
          <w:t xml:space="preserve">https://doi.org/10.6688/jise.2001.17.5.1</w:t>
        </w:r>
      </w:hyperlink>
    </w:p>
    <w:bookmarkEnd w:id="275"/>
    <w:bookmarkEnd w:id="276"/>
    <w:bookmarkEnd w:id="277"/>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18" Target="https://dask.org" TargetMode="External" /><Relationship Type="http://schemas.openxmlformats.org/officeDocument/2006/relationships/hyperlink" Id="rId232" Target="https://doi.org/10.1002/ece3.11503" TargetMode="External" /><Relationship Type="http://schemas.openxmlformats.org/officeDocument/2006/relationships/hyperlink" Id="rId230"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38" Target="https://doi.org/10.1007/978-1-4614-7657-3_19" TargetMode="External" /><Relationship Type="http://schemas.openxmlformats.org/officeDocument/2006/relationships/hyperlink" Id="rId268" Target="https://doi.org/10.1007/s10228-004-0251-5" TargetMode="External" /><Relationship Type="http://schemas.openxmlformats.org/officeDocument/2006/relationships/hyperlink" Id="rId260" Target="https://doi.org/10.1038/nmeth.2019" TargetMode="External" /><Relationship Type="http://schemas.openxmlformats.org/officeDocument/2006/relationships/hyperlink" Id="rId242" Target="https://doi.org/10.1038/s41467-020-19303-w" TargetMode="External" /><Relationship Type="http://schemas.openxmlformats.org/officeDocument/2006/relationships/hyperlink" Id="rId262" Target="https://doi.org/10.1086/285404" TargetMode="External" /><Relationship Type="http://schemas.openxmlformats.org/officeDocument/2006/relationships/hyperlink" Id="rId226" Target="https://doi.org/10.1093/iob/obad008" TargetMode="External" /><Relationship Type="http://schemas.openxmlformats.org/officeDocument/2006/relationships/hyperlink" Id="rId212" Target="https://doi.org/10.1093/oso/9780198577287.001.0001" TargetMode="External" /><Relationship Type="http://schemas.openxmlformats.org/officeDocument/2006/relationships/hyperlink" Id="rId208" Target="https://doi.org/10.1111/2041-210x.12035" TargetMode="External" /><Relationship Type="http://schemas.openxmlformats.org/officeDocument/2006/relationships/hyperlink" Id="rId258" Target="https://doi.org/10.1111/2041-210x.13669" TargetMode="External" /><Relationship Type="http://schemas.openxmlformats.org/officeDocument/2006/relationships/hyperlink" Id="rId272" Target="https://doi.org/10.1111/j.1095-8312.2010.01531.x" TargetMode="External" /><Relationship Type="http://schemas.openxmlformats.org/officeDocument/2006/relationships/hyperlink" Id="rId234" Target="https://doi.org/10.1111/j.1095-8649.2009.02419.x" TargetMode="External" /><Relationship Type="http://schemas.openxmlformats.org/officeDocument/2006/relationships/hyperlink" Id="rId214" Target="https://doi.org/10.1111/j.1420-9101.2008.01583.x" TargetMode="External" /><Relationship Type="http://schemas.openxmlformats.org/officeDocument/2006/relationships/hyperlink" Id="rId256" Target="https://doi.org/10.1146/annurev-genom-111720-081402" TargetMode="External" /><Relationship Type="http://schemas.openxmlformats.org/officeDocument/2006/relationships/hyperlink" Id="rId244" Target="https://doi.org/10.1186/1471-2148-13-277" TargetMode="External" /><Relationship Type="http://schemas.openxmlformats.org/officeDocument/2006/relationships/hyperlink" Id="rId254" Target="https://doi.org/10.1186/s12915-020-0753-2" TargetMode="External" /><Relationship Type="http://schemas.openxmlformats.org/officeDocument/2006/relationships/hyperlink" Id="rId236" Target="https://doi.org/10.1371/journal.pcbi.1007128" TargetMode="External" /><Relationship Type="http://schemas.openxmlformats.org/officeDocument/2006/relationships/hyperlink" Id="rId216" Target="https://doi.org/10.1371/journal.pone.0193874" TargetMode="External" /><Relationship Type="http://schemas.openxmlformats.org/officeDocument/2006/relationships/hyperlink" Id="rId246" Target="https://doi.org/10.2144/000112619" TargetMode="External" /><Relationship Type="http://schemas.openxmlformats.org/officeDocument/2006/relationships/hyperlink" Id="rId240" Target="https://doi.org/10.3233/978-1-61499-649-1-87" TargetMode="External" /><Relationship Type="http://schemas.openxmlformats.org/officeDocument/2006/relationships/hyperlink" Id="rId206" Target="https://doi.org/10.3789/ansi.niso.z39.104-2022" TargetMode="External" /><Relationship Type="http://schemas.openxmlformats.org/officeDocument/2006/relationships/hyperlink" Id="rId224" Target="https://doi.org/10.3791/54056" TargetMode="External" /><Relationship Type="http://schemas.openxmlformats.org/officeDocument/2006/relationships/hyperlink" Id="rId220" Target="https://doi.org/10.5281/zenodo.18257528" TargetMode="External" /><Relationship Type="http://schemas.openxmlformats.org/officeDocument/2006/relationships/hyperlink" Id="rId228" Target="https://doi.org/10.5281/zenodo.2587555" TargetMode="External" /><Relationship Type="http://schemas.openxmlformats.org/officeDocument/2006/relationships/hyperlink" Id="rId264" Target="https://doi.org/10.5281/zenodo.3555620" TargetMode="External" /><Relationship Type="http://schemas.openxmlformats.org/officeDocument/2006/relationships/hyperlink" Id="rId248" Target="https://doi.org/10.5281/zenodo.3773450" TargetMode="External" /><Relationship Type="http://schemas.openxmlformats.org/officeDocument/2006/relationships/hyperlink" Id="rId222" Target="https://doi.org/10.64898/2026.02.04.699496" TargetMode="External" /><Relationship Type="http://schemas.openxmlformats.org/officeDocument/2006/relationships/hyperlink" Id="rId274"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50b1a5ef32fd84305a795baf76babb637996ed3c"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50b1a5ef32fd84305a795baf76babb637996ed3c/"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0"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0"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2"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66"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18" Target="https://dask.org" TargetMode="External" /><Relationship Type="http://schemas.openxmlformats.org/officeDocument/2006/relationships/hyperlink" Id="rId232" Target="https://doi.org/10.1002/ece3.11503" TargetMode="External" /><Relationship Type="http://schemas.openxmlformats.org/officeDocument/2006/relationships/hyperlink" Id="rId230"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38" Target="https://doi.org/10.1007/978-1-4614-7657-3_19" TargetMode="External" /><Relationship Type="http://schemas.openxmlformats.org/officeDocument/2006/relationships/hyperlink" Id="rId268" Target="https://doi.org/10.1007/s10228-004-0251-5" TargetMode="External" /><Relationship Type="http://schemas.openxmlformats.org/officeDocument/2006/relationships/hyperlink" Id="rId260" Target="https://doi.org/10.1038/nmeth.2019" TargetMode="External" /><Relationship Type="http://schemas.openxmlformats.org/officeDocument/2006/relationships/hyperlink" Id="rId242" Target="https://doi.org/10.1038/s41467-020-19303-w" TargetMode="External" /><Relationship Type="http://schemas.openxmlformats.org/officeDocument/2006/relationships/hyperlink" Id="rId262" Target="https://doi.org/10.1086/285404" TargetMode="External" /><Relationship Type="http://schemas.openxmlformats.org/officeDocument/2006/relationships/hyperlink" Id="rId226" Target="https://doi.org/10.1093/iob/obad008" TargetMode="External" /><Relationship Type="http://schemas.openxmlformats.org/officeDocument/2006/relationships/hyperlink" Id="rId212" Target="https://doi.org/10.1093/oso/9780198577287.001.0001" TargetMode="External" /><Relationship Type="http://schemas.openxmlformats.org/officeDocument/2006/relationships/hyperlink" Id="rId208" Target="https://doi.org/10.1111/2041-210x.12035" TargetMode="External" /><Relationship Type="http://schemas.openxmlformats.org/officeDocument/2006/relationships/hyperlink" Id="rId258" Target="https://doi.org/10.1111/2041-210x.13669" TargetMode="External" /><Relationship Type="http://schemas.openxmlformats.org/officeDocument/2006/relationships/hyperlink" Id="rId272" Target="https://doi.org/10.1111/j.1095-8312.2010.01531.x" TargetMode="External" /><Relationship Type="http://schemas.openxmlformats.org/officeDocument/2006/relationships/hyperlink" Id="rId234" Target="https://doi.org/10.1111/j.1095-8649.2009.02419.x" TargetMode="External" /><Relationship Type="http://schemas.openxmlformats.org/officeDocument/2006/relationships/hyperlink" Id="rId214" Target="https://doi.org/10.1111/j.1420-9101.2008.01583.x" TargetMode="External" /><Relationship Type="http://schemas.openxmlformats.org/officeDocument/2006/relationships/hyperlink" Id="rId256" Target="https://doi.org/10.1146/annurev-genom-111720-081402" TargetMode="External" /><Relationship Type="http://schemas.openxmlformats.org/officeDocument/2006/relationships/hyperlink" Id="rId244" Target="https://doi.org/10.1186/1471-2148-13-277" TargetMode="External" /><Relationship Type="http://schemas.openxmlformats.org/officeDocument/2006/relationships/hyperlink" Id="rId254" Target="https://doi.org/10.1186/s12915-020-0753-2" TargetMode="External" /><Relationship Type="http://schemas.openxmlformats.org/officeDocument/2006/relationships/hyperlink" Id="rId236" Target="https://doi.org/10.1371/journal.pcbi.1007128" TargetMode="External" /><Relationship Type="http://schemas.openxmlformats.org/officeDocument/2006/relationships/hyperlink" Id="rId216" Target="https://doi.org/10.1371/journal.pone.0193874" TargetMode="External" /><Relationship Type="http://schemas.openxmlformats.org/officeDocument/2006/relationships/hyperlink" Id="rId246" Target="https://doi.org/10.2144/000112619" TargetMode="External" /><Relationship Type="http://schemas.openxmlformats.org/officeDocument/2006/relationships/hyperlink" Id="rId240" Target="https://doi.org/10.3233/978-1-61499-649-1-87" TargetMode="External" /><Relationship Type="http://schemas.openxmlformats.org/officeDocument/2006/relationships/hyperlink" Id="rId206" Target="https://doi.org/10.3789/ansi.niso.z39.104-2022" TargetMode="External" /><Relationship Type="http://schemas.openxmlformats.org/officeDocument/2006/relationships/hyperlink" Id="rId224" Target="https://doi.org/10.3791/54056" TargetMode="External" /><Relationship Type="http://schemas.openxmlformats.org/officeDocument/2006/relationships/hyperlink" Id="rId220" Target="https://doi.org/10.5281/zenodo.18257528" TargetMode="External" /><Relationship Type="http://schemas.openxmlformats.org/officeDocument/2006/relationships/hyperlink" Id="rId228" Target="https://doi.org/10.5281/zenodo.2587555" TargetMode="External" /><Relationship Type="http://schemas.openxmlformats.org/officeDocument/2006/relationships/hyperlink" Id="rId264" Target="https://doi.org/10.5281/zenodo.3555620" TargetMode="External" /><Relationship Type="http://schemas.openxmlformats.org/officeDocument/2006/relationships/hyperlink" Id="rId248" Target="https://doi.org/10.5281/zenodo.3773450" TargetMode="External" /><Relationship Type="http://schemas.openxmlformats.org/officeDocument/2006/relationships/hyperlink" Id="rId222" Target="https://doi.org/10.64898/2026.02.04.699496" TargetMode="External" /><Relationship Type="http://schemas.openxmlformats.org/officeDocument/2006/relationships/hyperlink" Id="rId274"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50b1a5ef32fd84305a795baf76babb637996ed3c"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50b1a5ef32fd84305a795baf76babb637996ed3c/"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0"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0"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2"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66"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2026-08-21T07:37:53Z</dcterms:created>
  <dcterms:modified xsi:type="dcterms:W3CDTF">2026-08-21T07:37:53Z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2026-08-21</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