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habi/sticklebacks-manuscript@4c5b40d</w:t>
        </w:r>
      </w:hyperlink>
      <w:r>
        <w:t xml:space="preserve"> </w:t>
      </w:r>
      <w:r>
        <w:t xml:space="preserve">on October 29, 2026 and contains 5991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may be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w:t>
      </w:r>
      <w:hyperlink r:id="rId103">
        <w:r>
          <w:rPr>
            <w:rStyle w:val="VerbatimChar"/>
          </w:rPr>
          <w:t xml:space="preserve">skimage.measure.label</w:t>
        </w:r>
      </w:hyperlink>
      <w:r>
        <w:t xml:space="preserve">) of the previously extracted MIP images was used to detect the single fish in their compartments (see right panel of Figure</w:t>
      </w:r>
      <w:r>
        <w:t xml:space="preserve"> </w:t>
      </w:r>
      <w:hyperlink w:anchor="fig:labels">
        <w:r>
          <w:rPr>
            <w:rStyle w:val="Hyperlink"/>
          </w:rPr>
          <w:t xml:space="preserve">4</w:t>
        </w:r>
      </w:hyperlink>
      <w:r>
        <w:t xml:space="preserve">).</w:t>
      </w:r>
      <w:r>
        <w:t xml:space="preserve"> </w:t>
      </w:r>
      <w:r>
        <w:t xml:space="preserve">The 3D-printed compartment labels of the sample holder were detected in the same way and are highlighted in yellow in the left panel of Figure</w:t>
      </w:r>
      <w:r>
        <w:t xml:space="preserve"> </w:t>
      </w:r>
      <w:hyperlink w:anchor="fig:labels">
        <w:r>
          <w:rPr>
            <w:rStyle w:val="Hyperlink"/>
          </w:rPr>
          <w:t xml:space="preserve">4</w:t>
        </w:r>
      </w:hyperlink>
      <w:r>
        <w:t xml:space="preserve">.</w:t>
      </w:r>
      <w:r>
        <w:t xml:space="preserve"> </w:t>
      </w:r>
      <w:r>
        <w:t xml:space="preserve">Since</w:t>
      </w:r>
      <w:r>
        <w:t xml:space="preserve"> </w:t>
      </w:r>
      <w:r>
        <w:rPr>
          <w:rStyle w:val="VerbatimChar"/>
        </w:rPr>
        <w:t xml:space="preserve">skimage</w:t>
      </w:r>
      <w:r>
        <w:t xml:space="preserve"> </w:t>
      </w:r>
      <w:r>
        <w:t xml:space="preserve">numbers the detected regions in raster order (top to bottom, left to right), this numbering depends on the exact position of each fish within its compartment.</w:t>
      </w:r>
      <w:r>
        <w:t xml:space="preserve"> </w:t>
      </w:r>
      <w:r>
        <w:t xml:space="preserve">Due to a slight tilt of the sample holder in the scanner and inconsistent size of the single fish, the detected numbering does not consistently follow the 3D-printed compartment numbering.</w:t>
      </w:r>
      <w:r>
        <w:t xml:space="preserve"> </w:t>
      </w:r>
      <w:r>
        <w:t xml:space="preserve">We thus assigned each detected region to a compartment based on the angle of its centroid (</w:t>
      </w:r>
      <w:hyperlink r:id="rId104">
        <w:r>
          <w:rPr>
            <w:rStyle w:val="VerbatimChar"/>
          </w:rPr>
          <w:t xml:space="preserve">skimage.measure.regionprops</w:t>
        </w:r>
      </w:hyperlink>
      <w:r>
        <w:t xml:space="preserve">) around the rotation axis of the scan, which coincides with the center of the sample holder.</w:t>
      </w:r>
      <w:r>
        <w:t xml:space="preserve"> </w:t>
      </w:r>
      <w:r>
        <w:t xml:space="preserve">Each region is assigned to the compartment with the closest nominal direction (spaced by 60°, counted anticlockwise from compartment 1); empty compartments are skipped.</w:t>
      </w:r>
    </w:p>
    <w:p>
      <w:pPr>
        <w:pStyle w:val="BodyText"/>
      </w:pPr>
      <w:r>
        <w:t xml:space="preserve">The bounding boxes of the individual fish in the scan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ment labels as they have been 3D printed. The right panels shows the regions as detected by skimage; they are numbered consecutively from top left to bottom right. These region numbers are assigned to the compartments based on their angle around the rotation axis (see text) and subsequently mapped to the fish ID."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These region numbers are assigned to the compartments based on their angle around the rotation axis (see text) and subsequently mapped to the fish ID.</w:t>
      </w:r>
    </w:p>
    <w:bookmarkEnd w:id="0"/>
    <w:p>
      <w:pPr>
        <w:pStyle w:val="BodyText"/>
      </w:pPr>
      <w:r>
        <w:t xml:space="preserve">We then mapped the compartment numbers to the ID numbers of the scanned fish, as noted in the lab book during sample mounting, and presented these images together with photos of the lab book and sample tubes for visual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4167649"/>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4167649"/>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as distinct labels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 labels corresponding to each set of bones were exported as a colored labelmap along with the</w:t>
      </w:r>
      <w:r>
        <w:t xml:space="preserve"> </w:t>
      </w:r>
      <w:r>
        <w:rPr>
          <w:rStyle w:val="VerbatimChar"/>
        </w:rPr>
        <w:t xml:space="preserve">nrrd</w:t>
      </w:r>
      <w:r>
        <w:t xml:space="preserve"> </w:t>
      </w:r>
      <w:r>
        <w:t xml:space="preserve">file from which they were segmented to pass to Biomedisa.</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resulting in segmentation labels for all structures in the branchial apparatus.</w:t>
      </w:r>
    </w:p>
    <w:p>
      <w:pPr>
        <w:pStyle w:val="BodyText"/>
      </w:pPr>
      <w:r>
        <w:t xml:space="preserve">As a test and for subsequent analysis, only the first and second right ceratobranchials were chosen for comparison between all samples.</w:t>
      </w:r>
      <w:r>
        <w:t xml:space="preserve"> </w:t>
      </w:r>
      <w:r>
        <w:t xml:space="preserve">The segmentation labels corresponding to these bones were imported together for landmarking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deterministic and reproducible.</w:t>
      </w:r>
      <w:r>
        <w:t xml:space="preserve"> </w:t>
      </w:r>
      <w:r>
        <w:t xml:space="preserve">The assignment of detected regions to compartments is computed from their position around the rotation axis, and the only manual input is the mapping of compartment number to fish ID from the lab book.</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r>
        <w:t xml:space="preserve"> </w:t>
      </w:r>
      <w:r>
        <w:t xml:space="preserve">The exported regions varied in size, with a median anteroposterior length of 4250 px and median x- and y- dimensions of 650 px (due to the rotation of the fish, the x- and y- dimensions do not map to anatomical directions).</w:t>
      </w:r>
      <w:r>
        <w:t xml:space="preserve"> </w:t>
      </w:r>
      <w:r>
        <w:t xml:space="preserve">These cropped regions include the region of the originally acquired data where the 3D-printed label is visible, aiding in end-to-end reproducibility of the extraction process.</w:t>
      </w:r>
    </w:p>
    <w:p>
      <w:pPr>
        <w:pStyle w:val="BodyText"/>
      </w:pPr>
      <w:r>
        <w:t xml:space="preserve">We have uploaded further cropped datasets of each analyzed fish to MorphoSource (see</w:t>
      </w:r>
      <w:r>
        <w:t xml:space="preserve"> </w:t>
      </w:r>
      <w:hyperlink w:anchor="supplementary-materials">
        <w:r>
          <w:rPr>
            <w:rStyle w:val="Hyperlink"/>
          </w:rPr>
          <w:t xml:space="preserve">Supplementary Materials</w:t>
        </w:r>
      </w:hyperlink>
      <w:r>
        <w:t xml:space="preserve">).</w:t>
      </w:r>
      <w:r>
        <w:t xml:space="preserve"> </w:t>
      </w:r>
      <w:r>
        <w:t xml:space="preserve">These further cropped datasets include only the region of the fish in anteroposterior direction, drop the 3D-printed label region and have a median size of approximately 3000 pixels, the x- and y-directions are the same as for the previously mentioned datasets.</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5" w:name="supplementary-materials"/>
    <w:p>
      <w:pPr>
        <w:pStyle w:val="Heading2"/>
      </w:pPr>
      <w:r>
        <w:t xml:space="preserve">Supplementary Materials</w:t>
      </w:r>
    </w:p>
    <w:bookmarkStart w:id="198" w:name="supplementary-figure"/>
    <w:p>
      <w:pPr>
        <w:pStyle w:val="Heading3"/>
      </w:pPr>
      <w:r>
        <w:t xml:space="preserve">Supplementary figure</w:t>
      </w:r>
    </w:p>
    <w:bookmarkStart w:id="0" w:name="fig:pc4"/>
    <w:p>
      <w:pPr>
        <w:pStyle w:val="CaptionedFigure"/>
      </w:pPr>
      <w:bookmarkStart w:id="197" w:name="fig:pc4"/>
      <w:r>
        <w:drawing>
          <wp:inline>
            <wp:extent cx="5943600" cy="4245428"/>
            <wp:effectExtent b="0" l="0" r="0" t="0"/>
            <wp:docPr descr="Figure 14: PCA of first ceratobranchial. PC4 accounts for 4.33% of the variation." title="" id="195" name="Picture"/>
            <a:graphic>
              <a:graphicData uri="http://schemas.openxmlformats.org/drawingml/2006/picture">
                <pic:pic>
                  <pic:nvPicPr>
                    <pic:cNvPr descr="images/Supplementary_Figure_PC1_vs_PC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bookmarkEnd w:id="197"/>
    </w:p>
    <w:p>
      <w:pPr>
        <w:pStyle w:val="ImageCaption"/>
      </w:pPr>
      <w:r>
        <w:t xml:space="preserve">Figure 14: PCA of first ceratobranchial.</w:t>
      </w:r>
      <w:r>
        <w:t xml:space="preserve"> </w:t>
      </w:r>
      <w:r>
        <w:t xml:space="preserve">PC4 accounts for 4.33% of the variation.</w:t>
      </w:r>
    </w:p>
    <w:bookmarkEnd w:id="0"/>
    <w:bookmarkEnd w:id="198"/>
    <w:bookmarkStart w:id="202"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9">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200">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1">
        <w:r>
          <w:rPr>
            <w:rStyle w:val="Hyperlink"/>
          </w:rPr>
          <w:t xml:space="preserve">folder in the data processing repository</w:t>
        </w:r>
      </w:hyperlink>
      <w:r>
        <w:t xml:space="preserve"> </w:t>
      </w:r>
      <w:r>
        <w:t xml:space="preserve">of this project.</w:t>
      </w:r>
    </w:p>
    <w:bookmarkEnd w:id="202"/>
    <w:bookmarkStart w:id="214" w:name="analysis-scripts"/>
    <w:p>
      <w:pPr>
        <w:pStyle w:val="Heading3"/>
      </w:pPr>
      <w:r>
        <w:t xml:space="preserve">Analysis Scripts</w:t>
      </w:r>
    </w:p>
    <w:bookmarkStart w:id="205"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3">
        <w:r>
          <w:rPr>
            <w:rStyle w:val="Hyperlink"/>
          </w:rPr>
          <w:t xml:space="preserve">on GitHub</w:t>
        </w:r>
      </w:hyperlink>
      <w:r>
        <w:t xml:space="preserve"> </w:t>
      </w:r>
      <w:r>
        <w:t xml:space="preserve">and can be previewed with</w:t>
      </w:r>
      <w:r>
        <w:t xml:space="preserve"> </w:t>
      </w:r>
      <w:hyperlink r:id="rId204">
        <w:r>
          <w:rPr>
            <w:rStyle w:val="Hyperlink"/>
          </w:rPr>
          <w:t xml:space="preserve">nbviewer</w:t>
        </w:r>
      </w:hyperlink>
      <w:r>
        <w:t xml:space="preserve">.</w:t>
      </w:r>
    </w:p>
    <w:bookmarkEnd w:id="205"/>
    <w:bookmarkStart w:id="208" w:name="X6bc734487f7438f1df3020b45c3c4edefa69cb1"/>
    <w:p>
      <w:pPr>
        <w:pStyle w:val="Heading4"/>
      </w:pPr>
      <w:r>
        <w:t xml:space="preserve">Cropped Tomographic Data of Each Extracted Fish</w:t>
      </w:r>
    </w:p>
    <w:p>
      <w:pPr>
        <w:pStyle w:val="FirstParagraph"/>
      </w:pPr>
      <w:r>
        <w:t xml:space="preserve">The cropped datasets for analysis include the region with the 3D-printed label of the multi-specimen holder to keep the process reproducible in an end-to-end fashion.</w:t>
      </w:r>
      <w:r>
        <w:t xml:space="preserve"> </w:t>
      </w:r>
      <w:r>
        <w:t xml:space="preserve">We further cropped the datasets along the anteroposterior axis with a</w:t>
      </w:r>
      <w:r>
        <w:t xml:space="preserve"> </w:t>
      </w:r>
      <w:hyperlink r:id="rId206">
        <w:r>
          <w:rPr>
            <w:rStyle w:val="Hyperlink"/>
          </w:rPr>
          <w:t xml:space="preserve">helper notebook</w:t>
        </w:r>
      </w:hyperlink>
      <w:r>
        <w:t xml:space="preserve">.</w:t>
      </w:r>
      <w:r>
        <w:t xml:space="preserve"> </w:t>
      </w:r>
      <w:r>
        <w:t xml:space="preserve">These datasets do</w:t>
      </w:r>
      <w:r>
        <w:t xml:space="preserve"> </w:t>
      </w:r>
      <w:r>
        <w:rPr>
          <w:iCs/>
          <w:i/>
        </w:rPr>
        <w:t xml:space="preserve">not</w:t>
      </w:r>
      <w:r>
        <w:t xml:space="preserve"> </w:t>
      </w:r>
      <w:r>
        <w:t xml:space="preserve">include the region of the 3D-printed label, but are minimized to only the fish region.</w:t>
      </w:r>
      <w:r>
        <w:t xml:space="preserve"> </w:t>
      </w:r>
      <w:r>
        <w:t xml:space="preserve">A</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such cropped fish region is available in</w:t>
      </w:r>
      <w:r>
        <w:t xml:space="preserve"> </w:t>
      </w:r>
      <w:hyperlink r:id="rId207">
        <w:r>
          <w:rPr>
            <w:rStyle w:val="Hyperlink"/>
          </w:rPr>
          <w:t xml:space="preserve">a collection at MorphoSource</w:t>
        </w:r>
      </w:hyperlink>
      <w:r>
        <w:t xml:space="preserve"> </w:t>
      </w:r>
      <w:r>
        <w:t xml:space="preserve">and can be downloaded on request.</w:t>
      </w:r>
    </w:p>
    <w:bookmarkEnd w:id="208"/>
    <w:bookmarkStart w:id="211" w:name="d-slicer-extraction"/>
    <w:p>
      <w:pPr>
        <w:pStyle w:val="Heading4"/>
      </w:pPr>
      <w:r>
        <w:t xml:space="preserve">3D Slicer; Extraction</w:t>
      </w:r>
    </w:p>
    <w:p>
      <w:pPr>
        <w:pStyle w:val="FirstParagraph"/>
      </w:pPr>
      <w:r>
        <w:t xml:space="preserve">The Python script we used to resample curves is found</w:t>
      </w:r>
      <w:r>
        <w:t xml:space="preserve"> </w:t>
      </w:r>
      <w:hyperlink r:id="rId209">
        <w:r>
          <w:rPr>
            <w:rStyle w:val="Hyperlink"/>
          </w:rPr>
          <w:t xml:space="preserve">online on GitHub</w:t>
        </w:r>
      </w:hyperlink>
      <w:r>
        <w:t xml:space="preserve">.</w:t>
      </w:r>
      <w:r>
        <w:t xml:space="preserve"> </w:t>
      </w:r>
      <w:r>
        <w:t xml:space="preserve">The result of the resampling is also available</w:t>
      </w:r>
      <w:r>
        <w:t xml:space="preserve"> </w:t>
      </w:r>
      <w:hyperlink r:id="rId210">
        <w:r>
          <w:rPr>
            <w:rStyle w:val="Hyperlink"/>
          </w:rPr>
          <w:t xml:space="preserve">online</w:t>
        </w:r>
      </w:hyperlink>
      <w:r>
        <w:t xml:space="preserve">.</w:t>
      </w:r>
    </w:p>
    <w:bookmarkEnd w:id="211"/>
    <w:bookmarkStart w:id="213" w:name="r-morphometrics"/>
    <w:p>
      <w:pPr>
        <w:pStyle w:val="Heading4"/>
      </w:pPr>
      <w:r>
        <w:t xml:space="preserve">R; Morphometrics</w:t>
      </w:r>
    </w:p>
    <w:p>
      <w:pPr>
        <w:pStyle w:val="FirstParagraph"/>
      </w:pPr>
      <w:r>
        <w:t xml:space="preserve">The R script we used to assess the morphometrics is available</w:t>
      </w:r>
      <w:r>
        <w:t xml:space="preserve"> </w:t>
      </w:r>
      <w:hyperlink r:id="rId212">
        <w:r>
          <w:rPr>
            <w:rStyle w:val="Hyperlink"/>
          </w:rPr>
          <w:t xml:space="preserve">online on GitHub</w:t>
        </w:r>
      </w:hyperlink>
      <w:r>
        <w:t xml:space="preserve">.</w:t>
      </w:r>
    </w:p>
    <w:bookmarkEnd w:id="213"/>
    <w:bookmarkEnd w:id="214"/>
    <w:bookmarkEnd w:id="215"/>
    <w:bookmarkStart w:id="295" w:name="references"/>
    <w:p>
      <w:pPr>
        <w:pStyle w:val="Heading2"/>
      </w:pPr>
      <w:r>
        <w:t xml:space="preserve">References</w:t>
      </w:r>
    </w:p>
    <w:bookmarkStart w:id="294" w:name="refs"/>
    <w:bookmarkStart w:id="21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6">
        <w:r>
          <w:rPr>
            <w:rStyle w:val="Hyperlink"/>
          </w:rPr>
          <w:t xml:space="preserve">https://doi.org/10.3789/ansi.niso.z39.104-2022</w:t>
        </w:r>
      </w:hyperlink>
    </w:p>
    <w:bookmarkEnd w:id="217"/>
    <w:bookmarkStart w:id="219"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8">
        <w:r>
          <w:rPr>
            <w:rStyle w:val="Hyperlink"/>
          </w:rPr>
          <w:t xml:space="preserve">https://doi.org/10.32614/cran.package.geomorph</w:t>
        </w:r>
      </w:hyperlink>
    </w:p>
    <w:bookmarkEnd w:id="219"/>
    <w:bookmarkStart w:id="22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20">
        <w:r>
          <w:rPr>
            <w:rStyle w:val="Hyperlink"/>
          </w:rPr>
          <w:t xml:space="preserve">https://doi.org/10.1002/evl3.175</w:t>
        </w:r>
      </w:hyperlink>
    </w:p>
    <w:bookmarkEnd w:id="221"/>
    <w:bookmarkStart w:id="22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2">
        <w:r>
          <w:rPr>
            <w:rStyle w:val="Hyperlink"/>
          </w:rPr>
          <w:t xml:space="preserve">https://doi.org/10.1111/2041-210x.13723</w:t>
        </w:r>
      </w:hyperlink>
    </w:p>
    <w:bookmarkEnd w:id="223"/>
    <w:bookmarkStart w:id="22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4">
        <w:r>
          <w:rPr>
            <w:rStyle w:val="Hyperlink"/>
          </w:rPr>
          <w:t xml:space="preserve">https://doi.org/10.1093/oso/9780198577287.001.0001</w:t>
        </w:r>
      </w:hyperlink>
    </w:p>
    <w:bookmarkEnd w:id="225"/>
    <w:bookmarkStart w:id="22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6">
        <w:r>
          <w:rPr>
            <w:rStyle w:val="Hyperlink"/>
          </w:rPr>
          <w:t xml:space="preserve">https://doi.org/10.1111/j.1420-9101.2008.01583.x</w:t>
        </w:r>
      </w:hyperlink>
    </w:p>
    <w:bookmarkEnd w:id="227"/>
    <w:bookmarkStart w:id="22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8">
        <w:r>
          <w:rPr>
            <w:rStyle w:val="Hyperlink"/>
          </w:rPr>
          <w:t xml:space="preserve">https://doi.org/10.1371/journal.pone.0193874</w:t>
        </w:r>
      </w:hyperlink>
    </w:p>
    <w:bookmarkEnd w:id="229"/>
    <w:bookmarkStart w:id="231"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30">
        <w:r>
          <w:rPr>
            <w:rStyle w:val="Hyperlink"/>
          </w:rPr>
          <w:t xml:space="preserve">https://doi.org/10.1111/2041-210x.13029</w:t>
        </w:r>
      </w:hyperlink>
    </w:p>
    <w:bookmarkEnd w:id="231"/>
    <w:bookmarkStart w:id="233"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2">
        <w:r>
          <w:rPr>
            <w:rStyle w:val="Hyperlink"/>
          </w:rPr>
          <w:t xml:space="preserve">https://doi.org/10.32614/cran.package.rrpp</w:t>
        </w:r>
      </w:hyperlink>
    </w:p>
    <w:bookmarkEnd w:id="233"/>
    <w:bookmarkStart w:id="235"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4">
        <w:r>
          <w:rPr>
            <w:rStyle w:val="Hyperlink"/>
          </w:rPr>
          <w:t xml:space="preserve">https://dask.org</w:t>
        </w:r>
      </w:hyperlink>
    </w:p>
    <w:bookmarkEnd w:id="235"/>
    <w:bookmarkStart w:id="237"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6">
        <w:r>
          <w:rPr>
            <w:rStyle w:val="Hyperlink"/>
          </w:rPr>
          <w:t xml:space="preserve">https://doi.org/10.5281/zenodo.18257528</w:t>
        </w:r>
      </w:hyperlink>
    </w:p>
    <w:bookmarkEnd w:id="237"/>
    <w:bookmarkStart w:id="239"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8">
        <w:r>
          <w:rPr>
            <w:rStyle w:val="Hyperlink"/>
          </w:rPr>
          <w:t xml:space="preserve">https://doi.org/10.64898/2026.02.04.699496</w:t>
        </w:r>
      </w:hyperlink>
    </w:p>
    <w:bookmarkEnd w:id="239"/>
    <w:bookmarkStart w:id="241"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40">
        <w:r>
          <w:rPr>
            <w:rStyle w:val="Hyperlink"/>
          </w:rPr>
          <w:t xml:space="preserve">https://doi.org/10.3791/54056</w:t>
        </w:r>
      </w:hyperlink>
    </w:p>
    <w:bookmarkEnd w:id="241"/>
    <w:bookmarkStart w:id="243"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2">
        <w:r>
          <w:rPr>
            <w:rStyle w:val="Hyperlink"/>
          </w:rPr>
          <w:t xml:space="preserve">https://doi.org/10.1093/iob/obad008</w:t>
        </w:r>
      </w:hyperlink>
    </w:p>
    <w:bookmarkEnd w:id="243"/>
    <w:bookmarkStart w:id="245"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4">
        <w:r>
          <w:rPr>
            <w:rStyle w:val="Hyperlink"/>
          </w:rPr>
          <w:t xml:space="preserve">https://doi.org/10.5281/zenodo.2587555</w:t>
        </w:r>
      </w:hyperlink>
    </w:p>
    <w:bookmarkEnd w:id="245"/>
    <w:bookmarkStart w:id="247"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6">
        <w:r>
          <w:rPr>
            <w:rStyle w:val="Hyperlink"/>
          </w:rPr>
          <w:t xml:space="preserve">https://doi.org/10.1002/ece3.6929</w:t>
        </w:r>
      </w:hyperlink>
    </w:p>
    <w:bookmarkEnd w:id="247"/>
    <w:bookmarkStart w:id="249"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8">
        <w:r>
          <w:rPr>
            <w:rStyle w:val="Hyperlink"/>
          </w:rPr>
          <w:t xml:space="preserve">https://doi.org/10.1002/ece3.11503</w:t>
        </w:r>
      </w:hyperlink>
    </w:p>
    <w:bookmarkEnd w:id="249"/>
    <w:bookmarkStart w:id="251"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50">
        <w:r>
          <w:rPr>
            <w:rStyle w:val="Hyperlink"/>
          </w:rPr>
          <w:t xml:space="preserve">https://doi.org/10.1111/j.1095-8649.2009.02419.x</w:t>
        </w:r>
      </w:hyperlink>
    </w:p>
    <w:bookmarkEnd w:id="251"/>
    <w:bookmarkStart w:id="253"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2">
        <w:r>
          <w:rPr>
            <w:rStyle w:val="Hyperlink"/>
          </w:rPr>
          <w:t xml:space="preserve">https://doi.org/10.1371/journal.pcbi.1007128</w:t>
        </w:r>
      </w:hyperlink>
    </w:p>
    <w:bookmarkEnd w:id="253"/>
    <w:bookmarkStart w:id="255"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4">
        <w:r>
          <w:rPr>
            <w:rStyle w:val="Hyperlink"/>
          </w:rPr>
          <w:t xml:space="preserve">https://doi.org/10.1007/978-1-4614-7657-3_19</w:t>
        </w:r>
      </w:hyperlink>
    </w:p>
    <w:bookmarkEnd w:id="255"/>
    <w:bookmarkStart w:id="257"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6">
        <w:r>
          <w:rPr>
            <w:rStyle w:val="Hyperlink"/>
          </w:rPr>
          <w:t xml:space="preserve">https://doi.org/10.3233/978-1-61499-649-1-87</w:t>
        </w:r>
      </w:hyperlink>
    </w:p>
    <w:bookmarkEnd w:id="257"/>
    <w:bookmarkStart w:id="259"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8">
        <w:r>
          <w:rPr>
            <w:rStyle w:val="Hyperlink"/>
          </w:rPr>
          <w:t xml:space="preserve">https://doi.org/10.1038/s41467-020-19303-w</w:t>
        </w:r>
      </w:hyperlink>
    </w:p>
    <w:bookmarkEnd w:id="259"/>
    <w:bookmarkStart w:id="261"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60">
        <w:r>
          <w:rPr>
            <w:rStyle w:val="Hyperlink"/>
          </w:rPr>
          <w:t xml:space="preserve">https://doi.org/10.1186/1471-2148-13-277</w:t>
        </w:r>
      </w:hyperlink>
    </w:p>
    <w:bookmarkEnd w:id="261"/>
    <w:bookmarkStart w:id="263"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2">
        <w:r>
          <w:rPr>
            <w:rStyle w:val="Hyperlink"/>
          </w:rPr>
          <w:t xml:space="preserve">https://doi.org/10.1242/jeb.074948</w:t>
        </w:r>
      </w:hyperlink>
    </w:p>
    <w:bookmarkEnd w:id="263"/>
    <w:bookmarkStart w:id="26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4">
        <w:r>
          <w:rPr>
            <w:rStyle w:val="Hyperlink"/>
          </w:rPr>
          <w:t xml:space="preserve">https://doi.org/10.2144/000112619</w:t>
        </w:r>
      </w:hyperlink>
    </w:p>
    <w:bookmarkEnd w:id="265"/>
    <w:bookmarkStart w:id="26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6">
        <w:r>
          <w:rPr>
            <w:rStyle w:val="Hyperlink"/>
          </w:rPr>
          <w:t xml:space="preserve">https://doi.org/10.5281/zenodo.3773450</w:t>
        </w:r>
      </w:hyperlink>
    </w:p>
    <w:bookmarkEnd w:id="267"/>
    <w:bookmarkStart w:id="269" w:name="ref-jxVw2kt2"/>
    <w:p>
      <w:pPr>
        <w:pStyle w:val="Bibliography"/>
      </w:pPr>
      <w:r>
        <w:rPr>
          <w:iCs/>
          <w:i/>
        </w:rPr>
        <w:t xml:space="preserve">Overview</w:t>
      </w:r>
      <w:r>
        <w:t xml:space="preserve">. (n.d.). K3D-Jupyter. Retrieved October 29, 2026, from</w:t>
      </w:r>
      <w:r>
        <w:t xml:space="preserve"> </w:t>
      </w:r>
      <w:hyperlink r:id="rId268">
        <w:r>
          <w:rPr>
            <w:rStyle w:val="Hyperlink"/>
          </w:rPr>
          <w:t xml:space="preserve">https://k3d-jupyter.org/index.html</w:t>
        </w:r>
      </w:hyperlink>
    </w:p>
    <w:bookmarkEnd w:id="269"/>
    <w:bookmarkStart w:id="27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70">
        <w:r>
          <w:rPr>
            <w:rStyle w:val="Hyperlink"/>
          </w:rPr>
          <w:t xml:space="preserve">https://www.R-project.org/</w:t>
        </w:r>
      </w:hyperlink>
    </w:p>
    <w:bookmarkEnd w:id="271"/>
    <w:bookmarkStart w:id="27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2">
        <w:r>
          <w:rPr>
            <w:rStyle w:val="Hyperlink"/>
          </w:rPr>
          <w:t xml:space="preserve">https://doi.org/10.1186/s12915-020-0753-2</w:t>
        </w:r>
      </w:hyperlink>
    </w:p>
    <w:bookmarkEnd w:id="273"/>
    <w:bookmarkStart w:id="27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4">
        <w:r>
          <w:rPr>
            <w:rStyle w:val="Hyperlink"/>
          </w:rPr>
          <w:t xml:space="preserve">https://doi.org/10.1146/annurev-genom-111720-081402</w:t>
        </w:r>
      </w:hyperlink>
    </w:p>
    <w:bookmarkEnd w:id="275"/>
    <w:bookmarkStart w:id="27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6">
        <w:r>
          <w:rPr>
            <w:rStyle w:val="Hyperlink"/>
          </w:rPr>
          <w:t xml:space="preserve">https://doi.org/10.1111/2041-210x.13669</w:t>
        </w:r>
      </w:hyperlink>
    </w:p>
    <w:bookmarkEnd w:id="277"/>
    <w:bookmarkStart w:id="27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8">
        <w:r>
          <w:rPr>
            <w:rStyle w:val="Hyperlink"/>
          </w:rPr>
          <w:t xml:space="preserve">https://doi.org/10.1038/nmeth.2019</w:t>
        </w:r>
      </w:hyperlink>
    </w:p>
    <w:bookmarkEnd w:id="279"/>
    <w:bookmarkStart w:id="28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80">
        <w:r>
          <w:rPr>
            <w:rStyle w:val="Hyperlink"/>
          </w:rPr>
          <w:t xml:space="preserve">https://doi.org/10.1086/285404</w:t>
        </w:r>
      </w:hyperlink>
    </w:p>
    <w:bookmarkEnd w:id="281"/>
    <w:bookmarkStart w:id="283"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2">
        <w:r>
          <w:rPr>
            <w:rStyle w:val="Hyperlink"/>
          </w:rPr>
          <w:t xml:space="preserve">https://doi.org/10.5281/zenodo.3555620</w:t>
        </w:r>
      </w:hyperlink>
    </w:p>
    <w:bookmarkEnd w:id="283"/>
    <w:bookmarkStart w:id="285"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4">
        <w:r>
          <w:rPr>
            <w:rStyle w:val="Hyperlink"/>
          </w:rPr>
          <w:t xml:space="preserve">https://www.stratovan.com/products/checkpoint</w:t>
        </w:r>
      </w:hyperlink>
    </w:p>
    <w:bookmarkEnd w:id="285"/>
    <w:bookmarkStart w:id="287"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6">
        <w:r>
          <w:rPr>
            <w:rStyle w:val="Hyperlink"/>
          </w:rPr>
          <w:t xml:space="preserve">https://doi.org/10.1007/s10228-004-0251-5</w:t>
        </w:r>
      </w:hyperlink>
    </w:p>
    <w:bookmarkEnd w:id="287"/>
    <w:bookmarkStart w:id="289"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8">
        <w:r>
          <w:rPr>
            <w:rStyle w:val="Hyperlink"/>
          </w:rPr>
          <w:t xml:space="preserve">https://orbi.uliege.be/handle/2268/14698</w:t>
        </w:r>
      </w:hyperlink>
    </w:p>
    <w:bookmarkEnd w:id="289"/>
    <w:bookmarkStart w:id="291"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90">
        <w:r>
          <w:rPr>
            <w:rStyle w:val="Hyperlink"/>
          </w:rPr>
          <w:t xml:space="preserve">https://doi.org/10.1111/j.1095-8312.2010.01531.x</w:t>
        </w:r>
      </w:hyperlink>
    </w:p>
    <w:bookmarkEnd w:id="291"/>
    <w:bookmarkStart w:id="293"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2">
        <w:r>
          <w:rPr>
            <w:rStyle w:val="Hyperlink"/>
          </w:rPr>
          <w:t xml:space="preserve">https://doi.org/10.6688/jise.2001.17.5.1</w:t>
        </w:r>
      </w:hyperlink>
    </w:p>
    <w:bookmarkEnd w:id="293"/>
    <w:bookmarkEnd w:id="294"/>
    <w:bookmarkEnd w:id="29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4c5b40def0d643d2e09097130ae30189e7c8b94d#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4c5b40def0d643d2e09097130ae30189e7c8b94d"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4c5b40def0d643d2e09097130ae30189e7c8b94d/"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7"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4c5b40def0d643d2e09097130ae30189e7c8b94d#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4c5b40def0d643d2e09097130ae30189e7c8b94d"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4c5b40def0d643d2e09097130ae30189e7c8b94d/"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7"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2026-10-29T16:18:27Z</dcterms:created>
  <dcterms:modified xsi:type="dcterms:W3CDTF">2026-10-29T16:18:27Z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2026-10-29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