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png" ContentType="image/png"/>
  <Override PartName="/word/media/rId132.png" ContentType="image/png"/>
  <Override PartName="/word/media/rId149.png" ContentType="image/png"/>
  <Override PartName="/word/media/rId157.png" ContentType="image/png"/>
  <Override PartName="/word/media/rId153.png" ContentType="image/png"/>
  <Override PartName="/word/media/rId161.png" ContentType="image/png"/>
  <Override PartName="/word/media/rId120.png" ContentType="image/png"/>
  <Override PartName="/word/media/rId88.png" ContentType="image/png"/>
  <Override PartName="/word/media/rId109.png" ContentType="image/png"/>
  <Override PartName="/word/media/rId105.png" ContentType="image/png"/>
  <Override PartName="/word/media/rId96.png" ContentType="image/png"/>
  <Override PartName="/word/media/rId114.png" ContentType="image/png"/>
  <Override PartName="/word/media/rId193.png" ContentType="image/png"/>
  <Override PartName="/word/media/rId30.svg" ContentType="image/svg+xml"/>
  <Override PartName="/word/media/rId35.svg" ContentType="image/svg+xml"/>
  <Override PartName="/word/media/rId25.svg" ContentType="image/svg+xml"/>
  <Override PartName="/word/media/rId79.png" ContentType="image/png"/>
  <Override PartName="/word/media/rId28.png" ContentType="image/png"/>
  <Override PartName="/word/media/rId33.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High-Throughput</w:t>
      </w:r>
      <w:r>
        <w:t xml:space="preserve"> </w:t>
      </w:r>
      <w:r>
        <w:t xml:space="preserve">Micro-CT</w:t>
      </w:r>
      <w:r>
        <w:t xml:space="preserve"> </w:t>
      </w:r>
      <w:r>
        <w:t xml:space="preserve">and</w:t>
      </w:r>
      <w:r>
        <w:t xml:space="preserve"> </w:t>
      </w:r>
      <w:r>
        <w:t xml:space="preserve">Automated</w:t>
      </w:r>
      <w:r>
        <w:t xml:space="preserve"> </w:t>
      </w:r>
      <w:r>
        <w:t xml:space="preserve">Segmentation</w:t>
      </w:r>
      <w:r>
        <w:t xml:space="preserve"> </w:t>
      </w:r>
      <w:r>
        <w:t xml:space="preserve">for</w:t>
      </w:r>
      <w:r>
        <w:t xml:space="preserve"> </w:t>
      </w:r>
      <w:r>
        <w:t xml:space="preserve">Eco-Evolutionary</w:t>
      </w:r>
      <w:r>
        <w:t xml:space="preserve"> </w:t>
      </w:r>
      <w:r>
        <w:t xml:space="preserve">Studies:</w:t>
      </w:r>
      <w:r>
        <w:t xml:space="preserve"> </w:t>
      </w:r>
      <w:r>
        <w:t xml:space="preserve">A</w:t>
      </w:r>
      <w:r>
        <w:t xml:space="preserve"> </w:t>
      </w:r>
      <w:r>
        <w:t xml:space="preserve">Case</w:t>
      </w:r>
      <w:r>
        <w:t xml:space="preserve"> </w:t>
      </w:r>
      <w:r>
        <w:t xml:space="preserve">Study</w:t>
      </w:r>
      <w:r>
        <w:t xml:space="preserve"> </w:t>
      </w:r>
      <w:r>
        <w:t xml:space="preserve">from</w:t>
      </w:r>
      <w:r>
        <w:t xml:space="preserve"> </w:t>
      </w:r>
      <w:r>
        <w:t xml:space="preserve">Threespine</w:t>
      </w:r>
      <w:r>
        <w:t xml:space="preserve"> </w:t>
      </w:r>
      <w:r>
        <w:t xml:space="preserve">Stickleback</w:t>
      </w:r>
    </w:p>
    <w:p>
      <w:pPr>
        <w:pStyle w:val="FirstParagraph"/>
      </w:pPr>
      <w:r>
        <w:rPr>
          <w:iCs/>
          <w:i/>
        </w:rPr>
        <w:t xml:space="preserve">The (anonymized) version</w:t>
      </w:r>
      <w:r>
        <w:rPr>
          <w:iCs/>
          <w:i/>
        </w:rPr>
        <w:t xml:space="preserve"> </w:t>
      </w:r>
      <w:hyperlink r:id="rId20">
        <w:r>
          <w:rPr>
            <w:rStyle w:val="VerbatimChar"/>
            <w:iCs/>
            <w:i/>
          </w:rPr>
          <w:t xml:space="preserve">v1.0</w:t>
        </w:r>
      </w:hyperlink>
      <w:r>
        <w:rPr>
          <w:iCs/>
          <w:i/>
        </w:rPr>
        <w:t xml:space="preserve"> </w:t>
      </w:r>
      <w:r>
        <w:rPr>
          <w:iCs/>
          <w:i/>
        </w:rPr>
        <w:t xml:space="preserve">of this manuscript was submitted to</w:t>
      </w:r>
      <w:r>
        <w:rPr>
          <w:iCs/>
          <w:i/>
        </w:rPr>
        <w:t xml:space="preserve"> </w:t>
      </w:r>
      <w:hyperlink r:id="rId21">
        <w:r>
          <w:rPr>
            <w:rStyle w:val="Hyperlink"/>
            <w:iCs/>
            <w:i/>
          </w:rPr>
          <w:t xml:space="preserve">Methods in Ecology and Evolution</w:t>
        </w:r>
      </w:hyperlink>
      <w:r>
        <w:rPr>
          <w:iCs/>
          <w:i/>
        </w:rPr>
        <w:t xml:space="preserve">.</w:t>
      </w:r>
    </w:p>
    <w:p>
      <w:pPr>
        <w:pStyle w:val="BodyText"/>
      </w:pPr>
      <w:r>
        <w:t xml:space="preserve"> </w:t>
      </w:r>
      <w:r>
        <w:t xml:space="preserve">This manuscript</w:t>
      </w:r>
      <w:r>
        <w:t xml:space="preserve"> </w:t>
      </w:r>
      <w:r>
        <w:t xml:space="preserve">(</w:t>
      </w:r>
      <w:hyperlink r:id="rId22">
        <w:r>
          <w:rPr>
            <w:rStyle w:val="Hyperlink"/>
          </w:rPr>
          <w:t xml:space="preserve">permalink</w:t>
        </w:r>
      </w:hyperlink>
      <w:r>
        <w:t xml:space="preserve">)</w:t>
      </w:r>
      <w:r>
        <w:t xml:space="preserve"> </w:t>
      </w:r>
      <w:r>
        <w:t xml:space="preserve">was generated</w:t>
      </w:r>
      <w:r>
        <w:t xml:space="preserve"> </w:t>
      </w:r>
      <w:r>
        <w:t xml:space="preserve">from</w:t>
      </w:r>
      <w:r>
        <w:t xml:space="preserve"> </w:t>
      </w:r>
      <w:hyperlink r:id="rId23">
        <w:r>
          <w:rPr>
            <w:rStyle w:val="Hyperlink"/>
          </w:rPr>
          <w:t xml:space="preserve">habi/sticklebacks-manuscript@e8b369d</w:t>
        </w:r>
      </w:hyperlink>
      <w:r>
        <w:t xml:space="preserve"> </w:t>
      </w:r>
      <w:r>
        <w:t xml:space="preserve">on October 30, 2026 and contains 5981 words.</w:t>
      </w:r>
      <w:r>
        <w:t xml:space="preserve"> </w:t>
      </w:r>
      <w:r>
        <w:t xml:space="preserve">Changes to the submitted version are visualized</w:t>
      </w:r>
      <w:r>
        <w:t xml:space="preserve"> </w:t>
      </w:r>
      <w:hyperlink r:id="rId24">
        <w:r>
          <w:rPr>
            <w:rStyle w:val="Hyperlink"/>
          </w:rPr>
          <w:t xml:space="preserve">here on GitHub</w:t>
        </w:r>
      </w:hyperlink>
      <w:r>
        <w:t xml:space="preserve">.</w:t>
      </w:r>
      <w:r>
        <w:t xml:space="preserve"> </w:t>
      </w:r>
    </w:p>
    <w:bookmarkStart w:id="75" w:name="authors"/>
    <w:p>
      <w:pPr>
        <w:pStyle w:val="Heading2"/>
      </w:pPr>
      <w:r>
        <w:t xml:space="preserve">Authors</w:t>
      </w:r>
    </w:p>
    <w:p>
      <w:pPr>
        <w:numPr>
          <w:ilvl w:val="0"/>
          <w:numId w:val="1001"/>
        </w:numPr>
      </w:pPr>
      <w:r>
        <w:rPr>
          <w:bCs/>
          <w:b/>
        </w:rPr>
        <w:t xml:space="preserve">David Haberthür</w:t>
      </w:r>
      <w:r>
        <w:t xml:space="preserve"> </w:t>
      </w:r>
      <w:r>
        <w:t xml:space="preserve"> </w:t>
      </w:r>
      <w:r>
        <w:drawing>
          <wp:inline>
            <wp:extent cx="152400" cy="152400"/>
            <wp:effectExtent b="0" l="0" r="0" t="0"/>
            <wp:docPr descr="ORCID icon" title="" id="26" name="Picture"/>
            <a:graphic>
              <a:graphicData uri="http://schemas.openxmlformats.org/drawingml/2006/picture">
                <pic:pic>
                  <pic:nvPicPr>
                    <pic:cNvPr descr="images/orcid.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29">
        <w:r>
          <w:rPr>
            <w:rStyle w:val="Hyperlink"/>
          </w:rPr>
          <w:t xml:space="preserve">0000-0003-3388-9187</w:t>
        </w:r>
      </w:hyperlink>
      <w:r>
        <w:t xml:space="preserve"> </w:t>
      </w:r>
      <w:r>
        <w:t xml:space="preserve">·</w:t>
      </w:r>
      <w:r>
        <w:t xml:space="preserve"> </w:t>
      </w:r>
      <w:r>
        <w:drawing>
          <wp:inline>
            <wp:extent cx="152400" cy="152400"/>
            <wp:effectExtent b="0" l="0" r="0" t="0"/>
            <wp:docPr descr="GitHub icon" title="" id="31" name="Picture"/>
            <a:graphic>
              <a:graphicData uri="http://schemas.openxmlformats.org/drawingml/2006/picture">
                <pic:pic>
                  <pic:nvPicPr>
                    <pic:cNvPr descr="images/github.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4">
        <w:r>
          <w:rPr>
            <w:rStyle w:val="Hyperlink"/>
          </w:rPr>
          <w:t xml:space="preserve">habi</w:t>
        </w:r>
      </w:hyperlink>
      <w:r>
        <w:t xml:space="preserve"> </w:t>
      </w:r>
      <w:r>
        <w:t xml:space="preserve">·</w:t>
      </w:r>
      <w:r>
        <w:t xml:space="preserve"> </w:t>
      </w:r>
      <w:r>
        <w:drawing>
          <wp:inline>
            <wp:extent cx="152400" cy="152400"/>
            <wp:effectExtent b="0" l="0" r="0" t="0"/>
            <wp:docPr descr="Mastodon icon" title="" id="36" name="Picture"/>
            <a:graphic>
              <a:graphicData uri="http://schemas.openxmlformats.org/drawingml/2006/picture">
                <pic:pic>
                  <pic:nvPicPr>
                    <pic:cNvPr descr="images/mastodon.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9">
        <w:r>
          <w:rPr>
            <w:rStyle w:val="Hyperlink"/>
          </w:rPr>
          <w:t xml:space="preserve">@habi@mastodon.social</w:t>
        </w:r>
      </w:hyperlink>
      <w:r>
        <w:t xml:space="preserve"> </w:t>
      </w:r>
      <w:r>
        <w:t xml:space="preserve"> </w:t>
      </w:r>
      <w:r>
        <w:t xml:space="preserve"> </w:t>
      </w:r>
      <w:r>
        <w:t xml:space="preserve">microCT research group, Institute of Anatomy, University of Bern, Baltzerstrasse 2, 3012 Bern, Switzerland</w:t>
      </w:r>
      <w:r>
        <w:t xml:space="preserve"> </w:t>
      </w:r>
    </w:p>
    <w:p>
      <w:pPr>
        <w:numPr>
          <w:ilvl w:val="0"/>
          <w:numId w:val="1001"/>
        </w:numPr>
      </w:pPr>
      <w:r>
        <w:rPr>
          <w:bCs/>
          <w:b/>
        </w:rPr>
        <w:t xml:space="preserve">R. Benjamin Sulser</w:t>
      </w:r>
      <w:r>
        <w:t xml:space="preserve"> </w:t>
      </w:r>
      <w:r>
        <w:t xml:space="preserve"> </w:t>
      </w:r>
      <w:r>
        <w:drawing>
          <wp:inline>
            <wp:extent cx="152400" cy="152400"/>
            <wp:effectExtent b="0" l="0" r="0" t="0"/>
            <wp:docPr descr="ORCID icon" title="" id="40" name="Picture"/>
            <a:graphic>
              <a:graphicData uri="http://schemas.openxmlformats.org/drawingml/2006/picture">
                <pic:pic>
                  <pic:nvPicPr>
                    <pic:cNvPr descr="images/orcid.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3">
        <w:r>
          <w:rPr>
            <w:rStyle w:val="Hyperlink"/>
          </w:rPr>
          <w:t xml:space="preserve">0000-0002-8750-0942</w:t>
        </w:r>
      </w:hyperlink>
      <w:r>
        <w:t xml:space="preserve"> </w:t>
      </w:r>
      <w:r>
        <w:t xml:space="preserve">·</w:t>
      </w:r>
      <w:r>
        <w:t xml:space="preserve"> </w:t>
      </w:r>
      <w:r>
        <w:drawing>
          <wp:inline>
            <wp:extent cx="152400" cy="152400"/>
            <wp:effectExtent b="0" l="0" r="0" t="0"/>
            <wp:docPr descr="GitHub icon" title="" id="44" name="Picture"/>
            <a:graphic>
              <a:graphicData uri="http://schemas.openxmlformats.org/drawingml/2006/picture">
                <pic:pic>
                  <pic:nvPicPr>
                    <pic:cNvPr descr="images/github.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7">
        <w:r>
          <w:rPr>
            <w:rStyle w:val="Hyperlink"/>
          </w:rPr>
          <w:t xml:space="preserve">sulserrb</w:t>
        </w:r>
      </w:hyperlink>
      <w:r>
        <w:t xml:space="preserve"> </w:t>
      </w:r>
      <w:r>
        <w:t xml:space="preserve"> </w:t>
      </w:r>
      <w:r>
        <w:t xml:space="preserve"> </w:t>
      </w:r>
      <w:r>
        <w:t xml:space="preserve">Division of Evolutionary Ecology, Institute of Ecology and Evolution, University of Bern, Baltzerstrasse 6, 3012 Bern, Switzerland</w:t>
      </w:r>
      <w:r>
        <w:t xml:space="preserve"> </w:t>
      </w:r>
      <w:r>
        <w:t xml:space="preserve">· Funded by Burgergemeinde Bern</w:t>
      </w:r>
      <w:r>
        <w:t xml:space="preserve"> </w:t>
      </w:r>
    </w:p>
    <w:p>
      <w:pPr>
        <w:numPr>
          <w:ilvl w:val="0"/>
          <w:numId w:val="1001"/>
        </w:numPr>
      </w:pPr>
      <w:r>
        <w:rPr>
          <w:bCs/>
          <w:b/>
        </w:rPr>
        <w:t xml:space="preserve">Sheila Christen</w:t>
      </w:r>
      <w:r>
        <w:t xml:space="preserve"> </w:t>
      </w:r>
      <w:r>
        <w:t xml:space="preserve"> </w:t>
      </w:r>
      <w:r>
        <w:drawing>
          <wp:inline>
            <wp:extent cx="152400" cy="152400"/>
            <wp:effectExtent b="0" l="0" r="0" t="0"/>
            <wp:docPr descr="ORCID icon" title="" id="48" name="Picture"/>
            <a:graphic>
              <a:graphicData uri="http://schemas.openxmlformats.org/drawingml/2006/picture">
                <pic:pic>
                  <pic:nvPicPr>
                    <pic:cNvPr descr="images/orcid.svg" id="49" name="Picture"/>
                    <pic:cNvPicPr>
                      <a:picLocks noChangeArrowheads="1" noChangeAspect="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1">
        <w:r>
          <w:rPr>
            <w:rStyle w:val="Hyperlink"/>
          </w:rPr>
          <w:t xml:space="preserve">0009-0008-3514-0800</w:t>
        </w:r>
      </w:hyperlink>
      <w:r>
        <w:t xml:space="preserve"> </w:t>
      </w:r>
      <w:r>
        <w:t xml:space="preserve">·</w:t>
      </w:r>
      <w:r>
        <w:t xml:space="preserve"> </w:t>
      </w:r>
      <w:r>
        <w:drawing>
          <wp:inline>
            <wp:extent cx="152400" cy="152400"/>
            <wp:effectExtent b="0" l="0" r="0" t="0"/>
            <wp:docPr descr="GitHub icon" title="" id="52" name="Picture"/>
            <a:graphic>
              <a:graphicData uri="http://schemas.openxmlformats.org/drawingml/2006/picture">
                <pic:pic>
                  <pic:nvPicPr>
                    <pic:cNvPr descr="images/githu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5">
        <w:r>
          <w:rPr>
            <w:rStyle w:val="Hyperlink"/>
          </w:rPr>
          <w:t xml:space="preserve">SheilaChristen</w:t>
        </w:r>
      </w:hyperlink>
      <w:r>
        <w:t xml:space="preserve"> </w:t>
      </w:r>
      <w:r>
        <w:t xml:space="preserve"> </w:t>
      </w:r>
      <w:r>
        <w:t xml:space="preserve"> </w:t>
      </w:r>
      <w:r>
        <w:t xml:space="preserve">Division of Evolutionary Ecology, Institute of Ecology and Evolution, University of Bern, Baltzerstrasse 6, 3012 Bern, Switzerland</w:t>
      </w:r>
      <w:r>
        <w:t xml:space="preserve"> </w:t>
      </w:r>
      <w:r>
        <w:t xml:space="preserve">· Funded by Burgergemeinde Bern</w:t>
      </w:r>
      <w:r>
        <w:t xml:space="preserve"> </w:t>
      </w:r>
    </w:p>
    <w:p>
      <w:pPr>
        <w:numPr>
          <w:ilvl w:val="0"/>
          <w:numId w:val="1001"/>
        </w:numPr>
      </w:pPr>
      <w:r>
        <w:rPr>
          <w:bCs/>
          <w:b/>
        </w:rPr>
        <w:t xml:space="preserve">Catherine L. Peichel</w:t>
      </w:r>
      <w:r>
        <w:t xml:space="preserve"> </w:t>
      </w:r>
      <w:r>
        <w:t xml:space="preserve"> </w:t>
      </w:r>
      <w:r>
        <w:drawing>
          <wp:inline>
            <wp:extent cx="152400" cy="152400"/>
            <wp:effectExtent b="0" l="0" r="0" t="0"/>
            <wp:docPr descr="ORCID icon" title="" id="56" name="Picture"/>
            <a:graphic>
              <a:graphicData uri="http://schemas.openxmlformats.org/drawingml/2006/picture">
                <pic:pic>
                  <pic:nvPicPr>
                    <pic:cNvPr descr="images/orcid.svg" id="57" name="Picture"/>
                    <pic:cNvPicPr>
                      <a:picLocks noChangeArrowheads="1" noChangeAspect="1"/>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9">
        <w:r>
          <w:rPr>
            <w:rStyle w:val="Hyperlink"/>
          </w:rPr>
          <w:t xml:space="preserve">0000-0002-7731-8944</w:t>
        </w:r>
      </w:hyperlink>
      <w:r>
        <w:t xml:space="preserve"> </w:t>
      </w:r>
      <w:r>
        <w:t xml:space="preserve">·</w:t>
      </w:r>
      <w:r>
        <w:t xml:space="preserve"> </w:t>
      </w:r>
      <w:r>
        <w:drawing>
          <wp:inline>
            <wp:extent cx="152400" cy="152400"/>
            <wp:effectExtent b="0" l="0" r="0" t="0"/>
            <wp:docPr descr="GitHub icon" title="" id="60" name="Picture"/>
            <a:graphic>
              <a:graphicData uri="http://schemas.openxmlformats.org/drawingml/2006/picture">
                <pic:pic>
                  <pic:nvPicPr>
                    <pic:cNvPr descr="images/github.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3">
        <w:r>
          <w:rPr>
            <w:rStyle w:val="Hyperlink"/>
          </w:rPr>
          <w:t xml:space="preserve">cpeichel</w:t>
        </w:r>
      </w:hyperlink>
      <w:r>
        <w:t xml:space="preserve"> </w:t>
      </w:r>
      <w:r>
        <w:t xml:space="preserve"> </w:t>
      </w:r>
      <w:r>
        <w:t xml:space="preserve"> </w:t>
      </w:r>
      <w:r>
        <w:t xml:space="preserve">Division of Evolutionary Ecology, Institute of Ecology and Evolution, University of Bern, Baltzerstrasse 6, 3012 Bern, Switzerland</w:t>
      </w:r>
      <w:r>
        <w:t xml:space="preserve"> </w:t>
      </w:r>
      <w:r>
        <w:t xml:space="preserve">· Funded by Swiss National Science Foundation (TMAG-3_209309/1)</w:t>
      </w:r>
      <w:r>
        <w:t xml:space="preserve"> </w:t>
      </w:r>
    </w:p>
    <w:p>
      <w:pPr>
        <w:numPr>
          <w:ilvl w:val="0"/>
          <w:numId w:val="1001"/>
        </w:numPr>
      </w:pPr>
      <w:r>
        <w:rPr>
          <w:bCs/>
          <w:b/>
        </w:rPr>
        <w:t xml:space="preserve">Ruslan Hlushchuk</w:t>
      </w:r>
      <w:r>
        <w:t xml:space="preserve"> </w:t>
      </w:r>
      <w:hyperlink w:anchor="correspondence">
        <w:r>
          <w:rPr>
            <w:rStyle w:val="Hyperlink"/>
            <w:vertAlign w:val="superscript"/>
          </w:rPr>
          <w:t xml:space="preserve">✉</w:t>
        </w:r>
      </w:hyperlink>
      <w:r>
        <w:t xml:space="preserve"> </w:t>
      </w:r>
      <w:r>
        <w:drawing>
          <wp:inline>
            <wp:extent cx="152400" cy="152400"/>
            <wp:effectExtent b="0" l="0" r="0" t="0"/>
            <wp:docPr descr="ORCID icon" title="" id="64" name="Picture"/>
            <a:graphic>
              <a:graphicData uri="http://schemas.openxmlformats.org/drawingml/2006/picture">
                <pic:pic>
                  <pic:nvPicPr>
                    <pic:cNvPr descr="images/orcid.svg" id="65" name="Picture"/>
                    <pic:cNvPicPr>
                      <a:picLocks noChangeArrowheads="1" noChangeAspect="1"/>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7">
        <w:r>
          <w:rPr>
            <w:rStyle w:val="Hyperlink"/>
          </w:rPr>
          <w:t xml:space="preserve">0000-0002-6722-8996</w:t>
        </w:r>
      </w:hyperlink>
      <w:r>
        <w:t xml:space="preserve"> </w:t>
      </w:r>
      <w:r>
        <w:t xml:space="preserve">·</w:t>
      </w:r>
      <w:r>
        <w:t xml:space="preserve"> </w:t>
      </w:r>
      <w:r>
        <w:drawing>
          <wp:inline>
            <wp:extent cx="152400" cy="152400"/>
            <wp:effectExtent b="0" l="0" r="0" t="0"/>
            <wp:docPr descr="GitHub icon" title="" id="68" name="Picture"/>
            <a:graphic>
              <a:graphicData uri="http://schemas.openxmlformats.org/drawingml/2006/picture">
                <pic:pic>
                  <pic:nvPicPr>
                    <pic:cNvPr descr="images/github.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71">
        <w:r>
          <w:rPr>
            <w:rStyle w:val="Hyperlink"/>
          </w:rPr>
          <w:t xml:space="preserve">RuslanHlushchuk</w:t>
        </w:r>
      </w:hyperlink>
      <w:r>
        <w:t xml:space="preserve"> </w:t>
      </w:r>
      <w:r>
        <w:t xml:space="preserve"> </w:t>
      </w:r>
      <w:r>
        <w:t xml:space="preserve"> </w:t>
      </w:r>
      <w:r>
        <w:t xml:space="preserve">microCT research group, Institute of Anatomy, University of Bern, Baltzerstrasse 2, 3012 Bern, Switzerland</w:t>
      </w:r>
      <w:r>
        <w:t xml:space="preserve"> </w:t>
      </w:r>
    </w:p>
    <w:bookmarkStart w:id="74" w:name="correspondence"/>
    <w:p>
      <w:pPr>
        <w:pStyle w:val="FirstParagraph"/>
      </w:pPr>
      <w:r>
        <w:t xml:space="preserve">✉: Correspondence via</w:t>
      </w:r>
      <w:r>
        <w:t xml:space="preserve"> </w:t>
      </w:r>
      <w:hyperlink r:id="rId72">
        <w:r>
          <w:rPr>
            <w:rStyle w:val="Hyperlink"/>
          </w:rPr>
          <w:t xml:space="preserve">GitHub Issues</w:t>
        </w:r>
      </w:hyperlink>
      <w:r>
        <w:t xml:space="preserve"> </w:t>
      </w:r>
      <w:r>
        <w:t xml:space="preserve">or email to</w:t>
      </w:r>
      <w:r>
        <w:t xml:space="preserve"> </w:t>
      </w:r>
      <w:hyperlink r:id="rId73">
        <w:r>
          <w:rPr>
            <w:rStyle w:val="Hyperlink"/>
          </w:rPr>
          <w:t xml:space="preserve">Ruslan Hlushchuk</w:t>
        </w:r>
      </w:hyperlink>
      <w:r>
        <w:t xml:space="preserve">.</w:t>
      </w:r>
    </w:p>
    <w:bookmarkEnd w:id="74"/>
    <w:bookmarkEnd w:id="75"/>
    <w:bookmarkStart w:id="76" w:name="abstract"/>
    <w:p>
      <w:pPr>
        <w:pStyle w:val="Heading2"/>
      </w:pPr>
      <w:r>
        <w:t xml:space="preserve">Abstract</w:t>
      </w:r>
    </w:p>
    <w:p>
      <w:pPr>
        <w:pStyle w:val="FirstParagraph"/>
      </w:pPr>
      <w:r>
        <w:t xml:space="preserve">The threespine stickleback is a well-recognized model system for understanding adaptation to divergent habitats.</w:t>
      </w:r>
      <w:r>
        <w:t xml:space="preserve"> </w:t>
      </w:r>
      <w:r>
        <w:t xml:space="preserve">The populations of benthic stickleback (benthos-feeding) and limnetic stickleback (water-column-feeding) differ in phenotypic traits associated with dietary specialization.</w:t>
      </w:r>
      <w:r>
        <w:t xml:space="preserve"> </w:t>
      </w:r>
      <w:r>
        <w:t xml:space="preserve">Modern investigations of evolutionary change in this organism often require the analysis of hundreds, if not thousands, of individuals.</w:t>
      </w:r>
      <w:r>
        <w:t xml:space="preserve"> </w:t>
      </w:r>
      <w:r>
        <w:t xml:space="preserve">However, analysis of feeding structures—particularly jaws and complex internal branchial anatomy—remains time-consuming and requires considerable expertise, with destructive sampling and fine dissection skills needed for quantitative analysis.</w:t>
      </w:r>
    </w:p>
    <w:p>
      <w:pPr>
        <w:pStyle w:val="BodyText"/>
      </w:pPr>
      <w:r>
        <w:t xml:space="preserve">The advent of X-ray microtomography and three-dimensional scanning technologies enables nondestructive imaging and greatly increases the availability of high-resolution morphological data.</w:t>
      </w:r>
      <w:r>
        <w:t xml:space="preserve"> </w:t>
      </w:r>
      <w:r>
        <w:t xml:space="preserve">However, the resulting increase in data complexity and processing demands often makes these approaches impractical for large-scale studies, especially at population scales that require measuring and analyzing hundreds to thousands of samples.</w:t>
      </w:r>
    </w:p>
    <w:p>
      <w:pPr>
        <w:pStyle w:val="BodyText"/>
      </w:pPr>
      <w:r>
        <w:t xml:space="preserve">To address these challenges, we developed a rapid and semi-automated segmentation and analysis pipeline based on the Jupyter interactive development environment and the Biomedisa image segmentation platform to investigate three-dimensional morphological adaptation in the threespine stickleback (</w:t>
      </w:r>
      <w:r>
        <w:rPr>
          <w:iCs/>
          <w:i/>
        </w:rPr>
        <w:t xml:space="preserve">Gasterosteus aculeatus</w:t>
      </w:r>
      <w:r>
        <w:t xml:space="preserve">).</w:t>
      </w:r>
    </w:p>
    <w:p>
      <w:pPr>
        <w:pStyle w:val="BodyText"/>
      </w:pPr>
      <w:r>
        <w:t xml:space="preserve">The pipeline includes separation of multi-specimen scans into individual regions of interest, reconstruction of targeted anatomical structures, and morphometric analyses.</w:t>
      </w:r>
      <w:r>
        <w:t xml:space="preserve"> </w:t>
      </w:r>
      <w:r>
        <w:t xml:space="preserve">We applied this pipeline to 38 multi-specimen scans comprising 215 specimens from divergent benthic and limnetic stickleback populations, demonstrating the potential of a high-throughput micro-CT imaging approach for testing ecological and evolutionary hypotheses.</w:t>
      </w:r>
      <w:r>
        <w:t xml:space="preserve"> </w:t>
      </w:r>
      <w:r>
        <w:t xml:space="preserve">These replicable, clade-agnostic methods provide a scalable pipeline that researchers working across diverse systems can adapt for high-throughput micro-CT sampling at scale.</w:t>
      </w:r>
    </w:p>
    <w:bookmarkEnd w:id="76"/>
    <w:bookmarkStart w:id="78" w:name="introduction"/>
    <w:p>
      <w:pPr>
        <w:pStyle w:val="Heading2"/>
      </w:pPr>
      <w:r>
        <w:t xml:space="preserve">Introduction</w:t>
      </w:r>
    </w:p>
    <w:p>
      <w:pPr>
        <w:pStyle w:val="FirstParagraph"/>
      </w:pPr>
      <w:r>
        <w:t xml:space="preserve">The threespine stickleback (</w:t>
      </w:r>
      <w:r>
        <w:rPr>
          <w:iCs/>
          <w:i/>
        </w:rPr>
        <w:t xml:space="preserve">Gasterosteus aculeatus</w:t>
      </w:r>
      <w:r>
        <w:t xml:space="preserve">) is a well-established model system for understanding the independent evolution of similar traits in similar environments</w:t>
      </w:r>
      <w:r>
        <w:t xml:space="preserve"> </w:t>
      </w:r>
      <w:r>
        <w:t xml:space="preserve">(</w:t>
      </w:r>
      <w:hyperlink w:anchor="ref-G9fXCoFb">
        <w:r>
          <w:rPr>
            <w:rStyle w:val="Hyperlink"/>
          </w:rPr>
          <w:t xml:space="preserve">Bell &amp; Foster, 1994</w:t>
        </w:r>
      </w:hyperlink>
      <w:r>
        <w:t xml:space="preserve">;</w:t>
      </w:r>
      <w:r>
        <w:t xml:space="preserve"> </w:t>
      </w:r>
      <w:hyperlink w:anchor="ref-tyLSEVnP">
        <w:r>
          <w:rPr>
            <w:rStyle w:val="Hyperlink"/>
          </w:rPr>
          <w:t xml:space="preserve">Reid et al., 2021</w:t>
        </w:r>
      </w:hyperlink>
      <w:r>
        <w:t xml:space="preserve">)</w:t>
      </w:r>
      <w:r>
        <w:t xml:space="preserve">.</w:t>
      </w:r>
      <w:r>
        <w:t xml:space="preserve"> </w:t>
      </w:r>
      <w:r>
        <w:t xml:space="preserve">This species exhibits marked differences in marine–freshwater, lake–stream, and benthic–limnetic ecotypes</w:t>
      </w:r>
      <w:r>
        <w:t xml:space="preserve"> </w:t>
      </w:r>
      <w:r>
        <w:t xml:space="preserve">(</w:t>
      </w:r>
      <w:hyperlink w:anchor="ref-XOyztXvb">
        <w:r>
          <w:rPr>
            <w:rStyle w:val="Hyperlink"/>
          </w:rPr>
          <w:t xml:space="preserve">Hendry et al., 2009</w:t>
        </w:r>
      </w:hyperlink>
      <w:r>
        <w:t xml:space="preserve">;</w:t>
      </w:r>
      <w:r>
        <w:t xml:space="preserve"> </w:t>
      </w:r>
      <w:hyperlink w:anchor="ref-1Dlme4sp5">
        <w:r>
          <w:rPr>
            <w:rStyle w:val="Hyperlink"/>
          </w:rPr>
          <w:t xml:space="preserve">Schluter &amp; McPhail, 1992</w:t>
        </w:r>
      </w:hyperlink>
      <w:r>
        <w:t xml:space="preserve">)</w:t>
      </w:r>
      <w:r>
        <w:t xml:space="preserve">.</w:t>
      </w:r>
      <w:r>
        <w:t xml:space="preserve"> </w:t>
      </w:r>
      <w:r>
        <w:t xml:space="preserve">This study focused on the benthic–limnetic axis, which resolves distinct stickleback ecotypes based primarily on dietary ecology (benthic stickleback forage on macroinvertebrates at the bottom of lakes; limnetic stickleback forage on zooplankton within the water column</w:t>
      </w:r>
      <w:r>
        <w:t xml:space="preserve"> </w:t>
      </w:r>
      <w:r>
        <w:t xml:space="preserve">(</w:t>
      </w:r>
      <w:hyperlink w:anchor="ref-Tw8w7mV3">
        <w:r>
          <w:rPr>
            <w:rStyle w:val="Hyperlink"/>
          </w:rPr>
          <w:t xml:space="preserve">WILLACKER et al., 2010</w:t>
        </w:r>
      </w:hyperlink>
      <w:r>
        <w:t xml:space="preserve">)</w:t>
      </w:r>
      <w:r>
        <w:t xml:space="preserve">).</w:t>
      </w:r>
      <w:r>
        <w:t xml:space="preserve"> </w:t>
      </w:r>
      <w:r>
        <w:t xml:space="preserve">The samples for this study were collected from the benthic and limnetic source populations used to establish a long-term evolutionary experiment within the Kenai Peninsula of Alaska (USA)</w:t>
      </w:r>
      <w:r>
        <w:t xml:space="preserve"> </w:t>
      </w:r>
      <w:r>
        <w:t xml:space="preserve">(</w:t>
      </w:r>
      <w:hyperlink w:anchor="ref-11BPceIkC">
        <w:r>
          <w:rPr>
            <w:rStyle w:val="Hyperlink"/>
          </w:rPr>
          <w:t xml:space="preserve">Hendry et al., 2024</w:t>
        </w:r>
      </w:hyperlink>
      <w:r>
        <w:t xml:space="preserve">)</w:t>
      </w:r>
      <w:r>
        <w:t xml:space="preserve">.</w:t>
      </w:r>
      <w:r>
        <w:t xml:space="preserve"> </w:t>
      </w:r>
      <w:r>
        <w:t xml:space="preserve">This project, the Forward In Time Natural Experimental Study of Selection (FITNESS), aims to study the predictability and repeatability of evolution.</w:t>
      </w:r>
      <w:r>
        <w:t xml:space="preserve"> </w:t>
      </w:r>
      <w:r>
        <w:t xml:space="preserve">Two pools of sticklebacks, one comprising four source populations of limnetic sticklebacks and the other comprising four source populations of benthic sticklebacks, have been placed in eight destination lakes, four of which are small and benthic and four of which are large and limnetic.</w:t>
      </w:r>
      <w:r>
        <w:t xml:space="preserve"> </w:t>
      </w:r>
      <w:r>
        <w:t xml:space="preserve">These new populations have been sampled every year to track the genotypic and phenotypic trajectories of these introduced populations.</w:t>
      </w:r>
      <w:r>
        <w:t xml:space="preserve"> </w:t>
      </w:r>
      <w:r>
        <w:t xml:space="preserve">Understanding the initial variation in the source populations is essential for this project, as it provides the raw material for the evolution in the destination lakes.</w:t>
      </w:r>
    </w:p>
    <w:p>
      <w:pPr>
        <w:pStyle w:val="BodyText"/>
      </w:pPr>
      <w:r>
        <w:t xml:space="preserve">Among sticklebacks and other bony fish, differences in jaw structures are directly related to functional and kinematic differences between ecotypes</w:t>
      </w:r>
      <w:r>
        <w:t xml:space="preserve"> </w:t>
      </w:r>
      <w:r>
        <w:t xml:space="preserve">(</w:t>
      </w:r>
      <w:hyperlink w:anchor="ref-a5G6tHdh">
        <w:r>
          <w:rPr>
            <w:rStyle w:val="Hyperlink"/>
          </w:rPr>
          <w:t xml:space="preserve">Haines et al., 2020</w:t>
        </w:r>
      </w:hyperlink>
      <w:r>
        <w:t xml:space="preserve">)</w:t>
      </w:r>
      <w:r>
        <w:t xml:space="preserve">.</w:t>
      </w:r>
      <w:r>
        <w:t xml:space="preserve"> </w:t>
      </w:r>
      <w:r>
        <w:t xml:space="preserve">Benthic sticklebacks have modified jaws for enhanced suction force and hypertrophied epaxial muscles to aid in foraging on benthic invertebrates, while limnetic sticklebacks have modifications for larger jaw protrusions and quick strikes during ram feeding</w:t>
      </w:r>
      <w:r>
        <w:t xml:space="preserve"> </w:t>
      </w:r>
      <w:r>
        <w:t xml:space="preserve">(</w:t>
      </w:r>
      <w:hyperlink w:anchor="ref-ZUWTpAJ8">
        <w:r>
          <w:rPr>
            <w:rStyle w:val="Hyperlink"/>
          </w:rPr>
          <w:t xml:space="preserve">McGee et al., 2013</w:t>
        </w:r>
      </w:hyperlink>
      <w:r>
        <w:t xml:space="preserve">)</w:t>
      </w:r>
      <w:r>
        <w:t xml:space="preserve">.</w:t>
      </w:r>
      <w:r>
        <w:t xml:space="preserve"> </w:t>
      </w:r>
      <w:r>
        <w:t xml:space="preserve">The internal hyoid arch–branchial arch complex is an important structure involved in diet and feeding ecology</w:t>
      </w:r>
      <w:r>
        <w:t xml:space="preserve"> </w:t>
      </w:r>
      <w:r>
        <w:t xml:space="preserve">(</w:t>
      </w:r>
      <w:hyperlink w:anchor="ref-10CsDLwDV">
        <w:r>
          <w:rPr>
            <w:rStyle w:val="Hyperlink"/>
          </w:rPr>
          <w:t xml:space="preserve">BERNER et al., 2008</w:t>
        </w:r>
      </w:hyperlink>
      <w:r>
        <w:t xml:space="preserve">;</w:t>
      </w:r>
      <w:r>
        <w:t xml:space="preserve"> </w:t>
      </w:r>
      <w:hyperlink w:anchor="ref-1Dlme4sp5">
        <w:r>
          <w:rPr>
            <w:rStyle w:val="Hyperlink"/>
          </w:rPr>
          <w:t xml:space="preserve">Schluter &amp; McPhail, 1992</w:t>
        </w:r>
      </w:hyperlink>
      <w:r>
        <w:t xml:space="preserve">)</w:t>
      </w:r>
      <w:r>
        <w:t xml:space="preserve">.</w:t>
      </w:r>
      <w:r>
        <w:t xml:space="preserve"> </w:t>
      </w:r>
      <w:r>
        <w:t xml:space="preserve">Although the shape and arrangement of the paired ceratobranchial and pharyngobranchial bones within this complex aid in food processing and water vortex generation during feeding</w:t>
      </w:r>
      <w:r>
        <w:t xml:space="preserve"> </w:t>
      </w:r>
      <w:r>
        <w:t xml:space="preserve">(</w:t>
      </w:r>
      <w:hyperlink w:anchor="ref-15G56iHS9">
        <w:r>
          <w:rPr>
            <w:rStyle w:val="Hyperlink"/>
          </w:rPr>
          <w:t xml:space="preserve">Brooks et al., 2018</w:t>
        </w:r>
      </w:hyperlink>
      <w:r>
        <w:t xml:space="preserve">)</w:t>
      </w:r>
      <w:r>
        <w:t xml:space="preserve">, the shape of these bones has received relatively little attention in relation to other aspects of dietary anatomy.</w:t>
      </w:r>
      <w:r>
        <w:t xml:space="preserve"> </w:t>
      </w:r>
      <w:r>
        <w:t xml:space="preserve">This is likely due to the flattening and destructive sampling used in traditional raker counting methods, which dissect and deform these structures to make them visible for manual measurements</w:t>
      </w:r>
      <w:r>
        <w:t xml:space="preserve"> </w:t>
      </w:r>
      <w:r>
        <w:t xml:space="preserve">(</w:t>
      </w:r>
      <w:hyperlink w:anchor="ref-RdhjaIDe">
        <w:r>
          <w:rPr>
            <w:rStyle w:val="Hyperlink"/>
          </w:rPr>
          <w:t xml:space="preserve">Ellis &amp; Miller, 2016</w:t>
        </w:r>
      </w:hyperlink>
      <w:r>
        <w:t xml:space="preserve">)</w:t>
      </w:r>
      <w:r>
        <w:t xml:space="preserve">.</w:t>
      </w:r>
      <w:r>
        <w:t xml:space="preserve"> </w:t>
      </w:r>
      <w:r>
        <w:t xml:space="preserve">Moreover, these structures are difficult to study without full cranial dissection and the corresponding distortion of the branchial anatomy.</w:t>
      </w:r>
      <w:r>
        <w:t xml:space="preserve"> </w:t>
      </w:r>
      <w:r>
        <w:t xml:space="preserve">X-ray microtomography-based three-dimensional (3D) imaging preserves these features at a high resolution and allows for nondestructive analysis.</w:t>
      </w:r>
      <w:r>
        <w:t xml:space="preserve"> </w:t>
      </w:r>
      <w:r>
        <w:t xml:space="preserve">However, imaging large numbers of stickleback specimens has until now been prohibitive due to the limitations of acquisition and processing time.</w:t>
      </w:r>
    </w:p>
    <w:bookmarkStart w:id="77" w:name="x-ray-microtomography"/>
    <w:p>
      <w:pPr>
        <w:pStyle w:val="Heading3"/>
      </w:pPr>
      <w:r>
        <w:t xml:space="preserve">X-Ray Microtomography</w:t>
      </w:r>
    </w:p>
    <w:p>
      <w:pPr>
        <w:pStyle w:val="FirstParagraph"/>
      </w:pPr>
      <w:r>
        <w:t xml:space="preserve">High-resolution X-ray tomography (micro-CT) imaging is an indispensable tool to gain nondestructive insights into the inner structure of highly diverse samples, specifically for specimens in biomedical research</w:t>
      </w:r>
      <w:r>
        <w:t xml:space="preserve"> </w:t>
      </w:r>
      <w:r>
        <w:t xml:space="preserve">(</w:t>
      </w:r>
      <w:hyperlink w:anchor="ref-IKVBgaCE">
        <w:r>
          <w:rPr>
            <w:rStyle w:val="Hyperlink"/>
          </w:rPr>
          <w:t xml:space="preserve">Rawson et al., 2020</w:t>
        </w:r>
      </w:hyperlink>
      <w:r>
        <w:t xml:space="preserve">)</w:t>
      </w:r>
      <w:r>
        <w:t xml:space="preserve">.</w:t>
      </w:r>
      <w:r>
        <w:t xml:space="preserve"> </w:t>
      </w:r>
      <w:r>
        <w:t xml:space="preserve">Micro-CT imaging is ideally suited for nondestructive anatomical assessments in fish</w:t>
      </w:r>
      <w:r>
        <w:t xml:space="preserve"> </w:t>
      </w:r>
      <w:r>
        <w:t xml:space="preserve">(</w:t>
      </w:r>
      <w:hyperlink w:anchor="ref-19h9vxsYG">
        <w:r>
          <w:rPr>
            <w:rStyle w:val="Hyperlink"/>
          </w:rPr>
          <w:t xml:space="preserve">Ford et al., 2023</w:t>
        </w:r>
      </w:hyperlink>
      <w:r>
        <w:t xml:space="preserve">)</w:t>
      </w:r>
      <w:r>
        <w:t xml:space="preserve">, capturing internal structures and delicate skeletal elements that are otherwise difficult to quantify without destructive preparation.</w:t>
      </w:r>
    </w:p>
    <w:p>
      <w:pPr>
        <w:pStyle w:val="BodyText"/>
      </w:pPr>
      <w:r>
        <w:t xml:space="preserve">Although these small structures can be manually rendered by a skilled investigator using segmentation tools such as 3D Slicer</w:t>
      </w:r>
      <w:r>
        <w:t xml:space="preserve"> </w:t>
      </w:r>
      <w:r>
        <w:t xml:space="preserve">(</w:t>
      </w:r>
      <w:hyperlink w:anchor="ref-EsDua5wx">
        <w:r>
          <w:rPr>
            <w:rStyle w:val="Hyperlink"/>
          </w:rPr>
          <w:t xml:space="preserve">Kikinis et al., 2013</w:t>
        </w:r>
      </w:hyperlink>
      <w:r>
        <w:t xml:space="preserve">;</w:t>
      </w:r>
      <w:r>
        <w:t xml:space="preserve"> </w:t>
      </w:r>
      <w:hyperlink w:anchor="ref-MwdN6kPV">
        <w:r>
          <w:rPr>
            <w:rStyle w:val="Hyperlink"/>
          </w:rPr>
          <w:t xml:space="preserve">Rolfe et al., 2021</w:t>
        </w:r>
      </w:hyperlink>
      <w:r>
        <w:t xml:space="preserve">)</w:t>
      </w:r>
      <w:r>
        <w:t xml:space="preserve">, the time and resources required per sample make this approach infeasible for population-level and evolutionary studies.</w:t>
      </w:r>
      <w:r>
        <w:t xml:space="preserve"> </w:t>
      </w:r>
      <w:r>
        <w:t xml:space="preserve">Furthermore, accessing these structures typically requires destruction of the mandibular and cranial anatomy, preventing subsequent analyses of these features.</w:t>
      </w:r>
    </w:p>
    <w:p>
      <w:pPr>
        <w:pStyle w:val="BodyText"/>
      </w:pPr>
      <w:r>
        <w:t xml:space="preserve">This project aims to address these gaps, demonstrating a novel pipeline for automatic splitting and rendering of multi-specimen scans for mass sampling, creating a dataset with consistent parameters that can be used as input for downstream machine learning approaches</w:t>
      </w:r>
      <w:r>
        <w:t xml:space="preserve"> </w:t>
      </w:r>
      <w:r>
        <w:t xml:space="preserve">(</w:t>
      </w:r>
      <w:hyperlink w:anchor="ref-jHalJ9Zw">
        <w:r>
          <w:rPr>
            <w:rStyle w:val="Hyperlink"/>
          </w:rPr>
          <w:t xml:space="preserve">Lösel et al., 2020</w:t>
        </w:r>
      </w:hyperlink>
      <w:r>
        <w:t xml:space="preserve">)</w:t>
      </w:r>
      <w:r>
        <w:t xml:space="preserve"> </w:t>
      </w:r>
      <w:r>
        <w:t xml:space="preserve">to aid in the segmentation of individual bony structures in each scan.</w:t>
      </w:r>
      <w:r>
        <w:t xml:space="preserve"> </w:t>
      </w:r>
      <w:r>
        <w:t xml:space="preserve">Once a Biomedisa model is trained, the entire pipeline runs from multi-specimen input to reconstructed anatomical structures for each specimen in a fraction of the time and resources required for traditional analysis.</w:t>
      </w:r>
    </w:p>
    <w:bookmarkEnd w:id="77"/>
    <w:bookmarkEnd w:id="78"/>
    <w:bookmarkStart w:id="142" w:name="materials-methods"/>
    <w:p>
      <w:pPr>
        <w:pStyle w:val="Heading2"/>
      </w:pPr>
      <w:r>
        <w:t xml:space="preserve">Materials &amp; Methods</w:t>
      </w:r>
    </w:p>
    <w:bookmarkStart w:id="0" w:name="fig:workflow"/>
    <w:p>
      <w:pPr>
        <w:pStyle w:val="CaptionedFigure"/>
      </w:pPr>
      <w:bookmarkStart w:id="82" w:name="fig:workflow"/>
      <w:r>
        <w:drawing>
          <wp:inline>
            <wp:extent cx="5943600" cy="5658379"/>
            <wp:effectExtent b="0" l="0" r="0" t="0"/>
            <wp:docPr descr="Figure 1: Workflow overview" title="" id="80" name="Picture"/>
            <a:graphic>
              <a:graphicData uri="http://schemas.openxmlformats.org/drawingml/2006/picture">
                <pic:pic>
                  <pic:nvPicPr>
                    <pic:cNvPr descr="images/workflow.png" id="81" name="Picture"/>
                    <pic:cNvPicPr>
                      <a:picLocks noChangeArrowheads="1" noChangeAspect="1"/>
                    </pic:cNvPicPr>
                  </pic:nvPicPr>
                  <pic:blipFill>
                    <a:blip r:embed="rId79"/>
                    <a:stretch>
                      <a:fillRect/>
                    </a:stretch>
                  </pic:blipFill>
                  <pic:spPr bwMode="auto">
                    <a:xfrm>
                      <a:off x="0" y="0"/>
                      <a:ext cx="5943600" cy="5658379"/>
                    </a:xfrm>
                    <a:prstGeom prst="rect">
                      <a:avLst/>
                    </a:prstGeom>
                    <a:noFill/>
                    <a:ln w="9525">
                      <a:noFill/>
                      <a:headEnd/>
                      <a:tailEnd/>
                    </a:ln>
                  </pic:spPr>
                </pic:pic>
              </a:graphicData>
            </a:graphic>
          </wp:inline>
        </w:drawing>
      </w:r>
      <w:bookmarkEnd w:id="82"/>
    </w:p>
    <w:p>
      <w:pPr>
        <w:pStyle w:val="ImageCaption"/>
      </w:pPr>
      <w:r>
        <w:t xml:space="preserve">Figure 1: Workflow overview</w:t>
      </w:r>
    </w:p>
    <w:bookmarkEnd w:id="0"/>
    <w:bookmarkStart w:id="83" w:name="sample-procurement-and-preparation"/>
    <w:p>
      <w:pPr>
        <w:pStyle w:val="Heading3"/>
      </w:pPr>
      <w:r>
        <w:t xml:space="preserve">Sample Procurement and Preparation</w:t>
      </w:r>
    </w:p>
    <w:p>
      <w:pPr>
        <w:pStyle w:val="FirstParagraph"/>
      </w:pPr>
      <w:r>
        <w:t xml:space="preserve">The samples used for this study were collected from six of the eight source lakes used for the FITNESS project in the region of Cook Inlet, Alaska.</w:t>
      </w:r>
      <w:r>
        <w:t xml:space="preserve"> </w:t>
      </w:r>
      <w:r>
        <w:t xml:space="preserve">Fish were collected using unbaited minnow traps in two separate field seasons, the first from May 26–June 10, 2023, and the second from May 25–June 11, 2024.</w:t>
      </w:r>
      <w:r>
        <w:t xml:space="preserve"> </w:t>
      </w:r>
      <w:r>
        <w:t xml:space="preserve">Specimens were collected from a random sample of up to 30 fish from each lake, under Alaska Department of Fish and Game (ADFG) permits SF2023-030 and P-24-015 for 2023 and 2024, respectively.</w:t>
      </w:r>
      <w:r>
        <w:t xml:space="preserve"> </w:t>
      </w:r>
      <w:r>
        <w:t xml:space="preserve">The fish were euthanized with MS-222, photographed, labeled, and preserved in 10% formalin in individual bags, all under McGill University Animal Use Protocol (AUP) MCGL-8265.</w:t>
      </w:r>
      <w:r>
        <w:t xml:space="preserve"> </w:t>
      </w:r>
      <w:r>
        <w:t xml:space="preserve">At the end of each field season, samples were shipped from Anchorage (AK, USA) to Bern (BE, CH), where they were stored until scanning.</w:t>
      </w:r>
      <w:r>
        <w:t xml:space="preserve"> </w:t>
      </w:r>
      <w:r>
        <w:t xml:space="preserve">The total number of fish for each lake was: 52 from Watson Lake (benthic), 48 from Finger Lake (benthic), 46 from Spirit Lake (limnetic), 35 from South Rolly Lake (limnetic), 20 from Walby Lake (benthic), and 14 from Tern Lake (benthic) for a total of 215 specimens.</w:t>
      </w:r>
      <w:r>
        <w:t xml:space="preserve"> </w:t>
      </w:r>
      <w:r>
        <w:t xml:space="preserve">As there is evidence that sexual dimorphism may be present in the stickleback feeding structures</w:t>
      </w:r>
      <w:r>
        <w:t xml:space="preserve"> </w:t>
      </w:r>
      <w:r>
        <w:t xml:space="preserve">(</w:t>
      </w:r>
      <w:hyperlink w:anchor="ref-ivfnBcoK">
        <w:r>
          <w:rPr>
            <w:rStyle w:val="Hyperlink"/>
          </w:rPr>
          <w:t xml:space="preserve">McGee &amp; Wainwright, 2013</w:t>
        </w:r>
      </w:hyperlink>
      <w:r>
        <w:t xml:space="preserve">)</w:t>
      </w:r>
      <w:r>
        <w:t xml:space="preserve">, caudal fin clips were additionally collected from fish sampled during the 2024 field season for molecular sex identification through genotyping.</w:t>
      </w:r>
      <w:r>
        <w:t xml:space="preserve"> </w:t>
      </w:r>
      <w:r>
        <w:t xml:space="preserve">DNA was extracted from fin tissue following Meeker et al.</w:t>
      </w:r>
      <w:r>
        <w:t xml:space="preserve"> </w:t>
      </w:r>
      <w:r>
        <w:t xml:space="preserve">(</w:t>
      </w:r>
      <w:hyperlink w:anchor="ref-uw1mZ6Yi">
        <w:r>
          <w:rPr>
            <w:rStyle w:val="Hyperlink"/>
          </w:rPr>
          <w:t xml:space="preserve">Meeker et al., 2007</w:t>
        </w:r>
      </w:hyperlink>
      <w:r>
        <w:t xml:space="preserve">)</w:t>
      </w:r>
      <w:r>
        <w:t xml:space="preserve">, and subsequent PCR genotyping with LRRc61 primers was performed, following Archambeault et al.</w:t>
      </w:r>
      <w:r>
        <w:t xml:space="preserve"> </w:t>
      </w:r>
      <w:r>
        <w:t xml:space="preserve">(</w:t>
      </w:r>
      <w:hyperlink w:anchor="ref-VqeoLfLl">
        <w:r>
          <w:rPr>
            <w:rStyle w:val="Hyperlink"/>
          </w:rPr>
          <w:t xml:space="preserve">Archambeault et al., 2020</w:t>
        </w:r>
      </w:hyperlink>
      <w:r>
        <w:t xml:space="preserve">)</w:t>
      </w:r>
      <w:r>
        <w:t xml:space="preserve">.</w:t>
      </w:r>
    </w:p>
    <w:p>
      <w:pPr>
        <w:pStyle w:val="BodyText"/>
      </w:pPr>
      <w:r>
        <w:t xml:space="preserve">Due to their inherent contrast difference with the surrounding tissue, the structures of interest in this study (teeth and bones, i.e., jaws and skull) are well visualized in unstained samples, so no further preparation of the fish was necessary.</w:t>
      </w:r>
    </w:p>
    <w:bookmarkEnd w:id="83"/>
    <w:bookmarkStart w:id="92" w:name="micro-ct-imaging"/>
    <w:p>
      <w:pPr>
        <w:pStyle w:val="Heading3"/>
      </w:pPr>
      <w:r>
        <w:t xml:space="preserve">Micro-CT Imaging</w:t>
      </w:r>
    </w:p>
    <w:p>
      <w:pPr>
        <w:pStyle w:val="FirstParagraph"/>
      </w:pPr>
      <w:r>
        <w:t xml:space="preserve">In a pilot study, we identified optimal scanning parameters to meet the constraints on total scanning time, resolution, and sample handling.</w:t>
      </w:r>
      <w:r>
        <w:t xml:space="preserve"> </w:t>
      </w:r>
      <w:r>
        <w:t xml:space="preserve">To optimize for these constraints, we scanned all sticklebacks in batches of six fish in a custom-made 3D-printed sample holder per scan.</w:t>
      </w:r>
      <w:r>
        <w:t xml:space="preserve"> </w:t>
      </w:r>
      <w:r>
        <w:t xml:space="preserve">This holder was designed in</w:t>
      </w:r>
      <w:r>
        <w:t xml:space="preserve"> </w:t>
      </w:r>
      <w:hyperlink r:id="rId84">
        <w:r>
          <w:rPr>
            <w:rStyle w:val="Hyperlink"/>
          </w:rPr>
          <w:t xml:space="preserve">OpenSCAD</w:t>
        </w:r>
      </w:hyperlink>
      <w:r>
        <w:t xml:space="preserve"> </w:t>
      </w:r>
      <w:r>
        <w:t xml:space="preserve">(OpenSCAD Developers; version 2021.01) and is available online, either directly as an</w:t>
      </w:r>
      <w:r>
        <w:t xml:space="preserve"> </w:t>
      </w:r>
      <w:hyperlink r:id="rId85">
        <w:r>
          <w:rPr>
            <w:rStyle w:val="Hyperlink"/>
          </w:rPr>
          <w:t xml:space="preserve">STL file for printing</w:t>
        </w:r>
      </w:hyperlink>
      <w:r>
        <w:t xml:space="preserve"> </w:t>
      </w:r>
      <w:r>
        <w:t xml:space="preserve">or as a</w:t>
      </w:r>
      <w:r>
        <w:t xml:space="preserve"> </w:t>
      </w:r>
      <w:hyperlink r:id="rId86">
        <w:r>
          <w:rPr>
            <w:rStyle w:val="Hyperlink"/>
          </w:rPr>
          <w:t xml:space="preserve">(parameterized) OpenSCAD file</w:t>
        </w:r>
      </w:hyperlink>
      <w:r>
        <w:t xml:space="preserve"> </w:t>
      </w:r>
      <w:r>
        <w:t xml:space="preserve">for adaptation to other classes of samples.</w:t>
      </w:r>
      <w:r>
        <w:t xml:space="preserve"> </w:t>
      </w:r>
      <w:r>
        <w:t xml:space="preserve">Both files are part of a library of 3D-printable sample holders for tomographic imaging</w:t>
      </w:r>
      <w:r>
        <w:t xml:space="preserve"> </w:t>
      </w:r>
      <w:r>
        <w:t xml:space="preserve">(</w:t>
      </w:r>
      <w:hyperlink w:anchor="ref-115PPSuQp">
        <w:r>
          <w:rPr>
            <w:rStyle w:val="Hyperlink"/>
          </w:rPr>
          <w:t xml:space="preserve">Haberthür, 2019</w:t>
        </w:r>
      </w:hyperlink>
      <w:r>
        <w:t xml:space="preserve">)</w:t>
      </w:r>
      <w:r>
        <w:t xml:space="preserve">.</w:t>
      </w:r>
    </w:p>
    <w:p>
      <w:pPr>
        <w:pStyle w:val="BodyText"/>
      </w:pPr>
      <w:r>
        <w:t xml:space="preserve">Fish were taken out of single, labeled falcon tubes, wrapped in melamine resin foam (virtually radiotransparent, but stable) and put head-first into the labeled compartments of the sample holder.</w:t>
      </w:r>
      <w:r>
        <w:t xml:space="preserve"> </w:t>
      </w:r>
      <w:r>
        <w:t xml:space="preserve">The foam was moistened with formalin and the top of the sample holder was sealed with Parafilm to avoid drying of the fish during the tomographic imaging.</w:t>
      </w:r>
    </w:p>
    <w:p>
      <w:pPr>
        <w:pStyle w:val="BodyText"/>
      </w:pPr>
      <w:r>
        <w:t xml:space="preserve">Tomographic imaging was performed on a</w:t>
      </w:r>
      <w:r>
        <w:t xml:space="preserve"> </w:t>
      </w:r>
      <w:hyperlink r:id="rId87">
        <w:r>
          <w:rPr>
            <w:rStyle w:val="Hyperlink"/>
          </w:rPr>
          <w:t xml:space="preserve">Bruker SkyScan 2214</w:t>
        </w:r>
      </w:hyperlink>
      <w:r>
        <w:t xml:space="preserve"> </w:t>
      </w:r>
      <w:r>
        <w:t xml:space="preserve">(Bruker microCT, Kontich, Belgium) at the Institute of Anatomy, University of Bern, Switzerland.</w:t>
      </w:r>
      <w:r>
        <w:t xml:space="preserve"> </w:t>
      </w:r>
      <w:r>
        <w:t xml:space="preserve">In total, we performed 38 scans, each scan usually containing up to six fish in the sample holder.</w:t>
      </w:r>
    </w:p>
    <w:p>
      <w:pPr>
        <w:pStyle w:val="BodyText"/>
      </w:pPr>
      <w:r>
        <w:t xml:space="preserve">The relevant details of each scan are summarized in a table in the</w:t>
      </w:r>
      <w:r>
        <w:t xml:space="preserve"> </w:t>
      </w:r>
      <w:hyperlink w:anchor="supplementary-materials">
        <w:r>
          <w:rPr>
            <w:rStyle w:val="Hyperlink"/>
          </w:rPr>
          <w:t xml:space="preserve">Supplementary Materials</w:t>
        </w:r>
      </w:hyperlink>
      <w:r>
        <w:t xml:space="preserve">; a short overview of the scanning parameters is given below.</w:t>
      </w:r>
      <w:r>
        <w:t xml:space="preserve"> </w:t>
      </w:r>
      <w:r>
        <w:t xml:space="preserve">The X-ray source was set to a voltage of 60 kV and a current of around 110 µA for all scans except one, where we used a source voltage of 49 kV and 159 µA due to operator error.</w:t>
      </w:r>
      <w:r>
        <w:t xml:space="preserve"> </w:t>
      </w:r>
      <w:r>
        <w:t xml:space="preserve">For each scan, we recorded a set of 3601 projections per stack (each projection with a size of 3000 by 2000 pixels) at 0.1° intervals over a 360° sample rotation.</w:t>
      </w:r>
      <w:r>
        <w:t xml:space="preserve"> </w:t>
      </w:r>
      <w:r>
        <w:t xml:space="preserve">Every single projection was exposed for about a second.</w:t>
      </w:r>
      <w:r>
        <w:t xml:space="preserve"> </w:t>
      </w:r>
      <w:r>
        <w:t xml:space="preserve">Because of the length of the fish, we had to acquire so-called stacked scans; on average, we scanned three fields of view along the rotation axis of the sample holder.</w:t>
      </w:r>
      <w:r>
        <w:t xml:space="preserve"> </w:t>
      </w:r>
      <w:r>
        <w:t xml:space="preserve">This resulted in an average scan time of 10 hours for each scan.</w:t>
      </w:r>
      <w:r>
        <w:t xml:space="preserve"> </w:t>
      </w:r>
      <w:r>
        <w:t xml:space="preserve">The projection images were subsequently reconstructed into stacks of 8-bit</w:t>
      </w:r>
      <w:r>
        <w:t xml:space="preserve"> </w:t>
      </w:r>
      <w:r>
        <w:rPr>
          <w:rStyle w:val="VerbatimChar"/>
        </w:rPr>
        <w:t xml:space="preserve">png</w:t>
      </w:r>
      <w:r>
        <w:t xml:space="preserve"> </w:t>
      </w:r>
      <w:r>
        <w:t xml:space="preserve">images with NRecon (Bruker microCT, Kontich, Belgium; version 2.2.0.6), without applying any ring artifact or beam hardening correction.</w:t>
      </w:r>
      <w:r>
        <w:t xml:space="preserve"> </w:t>
      </w:r>
      <w:r>
        <w:t xml:space="preserve">The isotropic voxel sizes in the resulting datasets vary from 15 to 17.5 µm.</w:t>
      </w:r>
    </w:p>
    <w:p>
      <w:pPr>
        <w:pStyle w:val="BodyText"/>
      </w:pPr>
      <w:r>
        <w:t xml:space="preserve">The result of one such multi-specimen scan is visualized in Figure</w:t>
      </w:r>
      <w:r>
        <w:t xml:space="preserve"> </w:t>
      </w:r>
      <w:hyperlink w:anchor="fig:visualization">
        <w:r>
          <w:rPr>
            <w:rStyle w:val="Hyperlink"/>
          </w:rPr>
          <w:t xml:space="preserve">2</w:t>
        </w:r>
      </w:hyperlink>
      <w:r>
        <w:t xml:space="preserve">, which shows the six fish contained in this scan.</w:t>
      </w:r>
      <w:r>
        <w:t xml:space="preserve"> </w:t>
      </w:r>
      <w:r>
        <w:t xml:space="preserve">The 3D-printed labels on the holder are highlighted in yellow in Figures</w:t>
      </w:r>
      <w:r>
        <w:t xml:space="preserve"> </w:t>
      </w:r>
      <w:hyperlink w:anchor="fig:visualization">
        <w:r>
          <w:rPr>
            <w:rStyle w:val="Hyperlink"/>
          </w:rPr>
          <w:t xml:space="preserve">2</w:t>
        </w:r>
      </w:hyperlink>
      <w:r>
        <w:t xml:space="preserve"> </w:t>
      </w:r>
      <w:r>
        <w:t xml:space="preserve">and</w:t>
      </w:r>
      <w:r>
        <w:t xml:space="preserve"> </w:t>
      </w:r>
      <w:hyperlink w:anchor="fig:labels">
        <w:r>
          <w:rPr>
            <w:rStyle w:val="Hyperlink"/>
          </w:rPr>
          <w:t xml:space="preserve">4</w:t>
        </w:r>
      </w:hyperlink>
      <w:r>
        <w:t xml:space="preserve">–</w:t>
      </w:r>
      <w:hyperlink w:anchor="fig:cropping">
        <w:r>
          <w:rPr>
            <w:rStyle w:val="Hyperlink"/>
          </w:rPr>
          <w:t xml:space="preserve">6</w:t>
        </w:r>
      </w:hyperlink>
      <w:r>
        <w:t xml:space="preserve"> </w:t>
      </w:r>
      <w:r>
        <w:t xml:space="preserve">(image processing in notebooks), and visible (upside down) in Figure</w:t>
      </w:r>
      <w:r>
        <w:t xml:space="preserve"> </w:t>
      </w:r>
      <w:hyperlink w:anchor="fig:SLX23012_3D">
        <w:r>
          <w:rPr>
            <w:rStyle w:val="Hyperlink"/>
          </w:rPr>
          <w:t xml:space="preserve">7</w:t>
        </w:r>
      </w:hyperlink>
      <w:r>
        <w:t xml:space="preserve">.</w:t>
      </w:r>
    </w:p>
    <w:bookmarkStart w:id="0" w:name="fig:visualization"/>
    <w:p>
      <w:pPr>
        <w:pStyle w:val="CaptionedFigure"/>
      </w:pPr>
      <w:bookmarkStart w:id="91" w:name="fig:visualization"/>
      <w:r>
        <w:drawing>
          <wp:inline>
            <wp:extent cx="5943600" cy="5532026"/>
            <wp:effectExtent b="0" l="0" r="0" t="0"/>
            <wp:docPr descr="Figure 2: Three-dimensional visualization of one multi-specimen scan. The 3D-printed labels are highlighted in yellow; the holder itself is shown semi-transparently, containing six specimens for this scan. Visualization created with Dragonfly 3D World (Version 2025.1.0.14177, Comet Technologies Canada Inc, Montreal, Canada)." title="" id="89" name="Picture"/>
            <a:graphic>
              <a:graphicData uri="http://schemas.openxmlformats.org/drawingml/2006/picture">
                <pic:pic>
                  <pic:nvPicPr>
                    <pic:cNvPr descr="images/Sticklebucket_H.rec.3D.png" id="90" name="Picture"/>
                    <pic:cNvPicPr>
                      <a:picLocks noChangeArrowheads="1" noChangeAspect="1"/>
                    </pic:cNvPicPr>
                  </pic:nvPicPr>
                  <pic:blipFill>
                    <a:blip r:embed="rId88"/>
                    <a:stretch>
                      <a:fillRect/>
                    </a:stretch>
                  </pic:blipFill>
                  <pic:spPr bwMode="auto">
                    <a:xfrm>
                      <a:off x="0" y="0"/>
                      <a:ext cx="5943600" cy="5532026"/>
                    </a:xfrm>
                    <a:prstGeom prst="rect">
                      <a:avLst/>
                    </a:prstGeom>
                    <a:noFill/>
                    <a:ln w="9525">
                      <a:noFill/>
                      <a:headEnd/>
                      <a:tailEnd/>
                    </a:ln>
                  </pic:spPr>
                </pic:pic>
              </a:graphicData>
            </a:graphic>
          </wp:inline>
        </w:drawing>
      </w:r>
      <w:bookmarkEnd w:id="91"/>
    </w:p>
    <w:p>
      <w:pPr>
        <w:pStyle w:val="ImageCaption"/>
      </w:pPr>
      <w:r>
        <w:t xml:space="preserve">Figure 2: Three-dimensional visualization of one multi-specimen scan.</w:t>
      </w:r>
      <w:r>
        <w:t xml:space="preserve"> </w:t>
      </w:r>
      <w:r>
        <w:t xml:space="preserve">The 3D-printed labels are highlighted in yellow; the holder itself is shown semi-transparently, containing six specimens for this scan.</w:t>
      </w:r>
      <w:r>
        <w:t xml:space="preserve"> </w:t>
      </w:r>
      <w:r>
        <w:t xml:space="preserve">Visualization created with Dragonfly 3D World (Version 2025.1.0.14177, Comet Technologies Canada Inc, Montreal, Canada).</w:t>
      </w:r>
    </w:p>
    <w:bookmarkEnd w:id="0"/>
    <w:bookmarkEnd w:id="92"/>
    <w:bookmarkStart w:id="141" w:name="data-analysis"/>
    <w:p>
      <w:pPr>
        <w:pStyle w:val="Heading3"/>
      </w:pPr>
      <w:r>
        <w:t xml:space="preserve">Data Analysis</w:t>
      </w:r>
    </w:p>
    <w:bookmarkStart w:id="125" w:name="Xa33f70c293f0b774d11cf72b5947ee30bc246f1"/>
    <w:p>
      <w:pPr>
        <w:pStyle w:val="Heading4"/>
      </w:pPr>
      <w:r>
        <w:t xml:space="preserve">Preparation and Handling of Tomographic Datasets</w:t>
      </w:r>
    </w:p>
    <w:p>
      <w:pPr>
        <w:pStyle w:val="FirstParagraph"/>
      </w:pPr>
      <w:r>
        <w:t xml:space="preserve">After acquisition,</w:t>
      </w:r>
      <w:r>
        <w:t xml:space="preserve"> </w:t>
      </w:r>
      <w:hyperlink r:id="rId93">
        <w:r>
          <w:rPr>
            <w:rStyle w:val="Hyperlink"/>
          </w:rPr>
          <w:t xml:space="preserve">a simple script</w:t>
        </w:r>
      </w:hyperlink>
      <w:r>
        <w:t xml:space="preserve"> </w:t>
      </w:r>
      <w:r>
        <w:t xml:space="preserve">was used to copy the relevant data to both archival storage and storage accessible by all coauthors.</w:t>
      </w:r>
      <w:r>
        <w:t xml:space="preserve"> </w:t>
      </w:r>
      <w:r>
        <w:t xml:space="preserve">Further processing of the tomographic datasets was performed with a set of Jupyter</w:t>
      </w:r>
      <w:r>
        <w:t xml:space="preserve"> </w:t>
      </w:r>
      <w:r>
        <w:t xml:space="preserve">(</w:t>
      </w:r>
      <w:hyperlink w:anchor="ref-1Bh7g5XAe">
        <w:r>
          <w:rPr>
            <w:rStyle w:val="Hyperlink"/>
          </w:rPr>
          <w:t xml:space="preserve">Kluyver Thomas et al., 2016</w:t>
        </w:r>
      </w:hyperlink>
      <w:r>
        <w:t xml:space="preserve">)</w:t>
      </w:r>
      <w:r>
        <w:t xml:space="preserve"> </w:t>
      </w:r>
      <w:r>
        <w:t xml:space="preserve">notebooks</w:t>
      </w:r>
      <w:r>
        <w:t xml:space="preserve"> </w:t>
      </w:r>
      <w:r>
        <w:t xml:space="preserve">(</w:t>
      </w:r>
      <w:hyperlink w:anchor="ref-4vi5Vvpx">
        <w:r>
          <w:rPr>
            <w:rStyle w:val="Hyperlink"/>
          </w:rPr>
          <w:t xml:space="preserve">David Haberthür, 2026</w:t>
        </w:r>
      </w:hyperlink>
      <w:r>
        <w:t xml:space="preserve">)</w:t>
      </w:r>
      <w:r>
        <w:t xml:space="preserve">.</w:t>
      </w:r>
    </w:p>
    <w:bookmarkStart w:id="100" w:name="preview-notebook"/>
    <w:p>
      <w:pPr>
        <w:pStyle w:val="Heading5"/>
      </w:pPr>
      <w:r>
        <w:t xml:space="preserve">Preview Notebook</w:t>
      </w:r>
    </w:p>
    <w:p>
      <w:pPr>
        <w:pStyle w:val="FirstParagraph"/>
      </w:pPr>
      <w:r>
        <w:t xml:space="preserve">The</w:t>
      </w:r>
      <w:r>
        <w:t xml:space="preserve"> </w:t>
      </w:r>
      <w:hyperlink r:id="rId94">
        <w:r>
          <w:rPr>
            <w:rStyle w:val="Hyperlink"/>
          </w:rPr>
          <w:t xml:space="preserve">preview notebook</w:t>
        </w:r>
      </w:hyperlink>
      <w:r>
        <w:t xml:space="preserve"> </w:t>
      </w:r>
      <w:r>
        <w:t xml:space="preserve">was used to identify scanning and reconstruction issues.</w:t>
      </w:r>
      <w:r>
        <w:t xml:space="preserve"> </w:t>
      </w:r>
      <w:r>
        <w:t xml:space="preserve">For this, we read all the relevant scan and reconstruction parameters from the log files of each scan.</w:t>
      </w:r>
      <w:r>
        <w:t xml:space="preserve"> </w:t>
      </w:r>
      <w:r>
        <w:t xml:space="preserve">Afterwards, we efficiently loaded the reconstruction</w:t>
      </w:r>
      <w:r>
        <w:t xml:space="preserve"> </w:t>
      </w:r>
      <w:r>
        <w:rPr>
          <w:rStyle w:val="VerbatimChar"/>
        </w:rPr>
        <w:t xml:space="preserve">png</w:t>
      </w:r>
      <w:r>
        <w:t xml:space="preserve"> </w:t>
      </w:r>
      <w:r>
        <w:t xml:space="preserve">images from disk with the</w:t>
      </w:r>
      <w:r>
        <w:t xml:space="preserve"> </w:t>
      </w:r>
      <w:hyperlink r:id="rId95">
        <w:r>
          <w:rPr>
            <w:rStyle w:val="VerbatimChar"/>
          </w:rPr>
          <w:t xml:space="preserve">dask_image.imread.imread</w:t>
        </w:r>
      </w:hyperlink>
      <w:r>
        <w:t xml:space="preserve"> </w:t>
      </w:r>
      <w:r>
        <w:t xml:space="preserve">function</w:t>
      </w:r>
      <w:r>
        <w:t xml:space="preserve"> </w:t>
      </w:r>
      <w:r>
        <w:t xml:space="preserve">(</w:t>
      </w:r>
      <w:hyperlink w:anchor="ref-hj1CnyWB">
        <w:r>
          <w:rPr>
            <w:rStyle w:val="Hyperlink"/>
          </w:rPr>
          <w:t xml:space="preserve">Dask Development Team, 2016</w:t>
        </w:r>
      </w:hyperlink>
      <w:r>
        <w:t xml:space="preserve">)</w:t>
      </w:r>
      <w:r>
        <w:t xml:space="preserve">.</w:t>
      </w:r>
      <w:r>
        <w:t xml:space="preserve"> </w:t>
      </w:r>
      <w:r>
        <w:t xml:space="preserve">This approach allowed us to map</w:t>
      </w:r>
      <w:r>
        <w:t xml:space="preserve"> </w:t>
      </w:r>
      <w:r>
        <w:rPr>
          <w:iCs/>
          <w:i/>
        </w:rPr>
        <w:t xml:space="preserve">all</w:t>
      </w:r>
      <w:r>
        <w:t xml:space="preserve"> </w:t>
      </w:r>
      <w:r>
        <w:t xml:space="preserve">the reconstructions to memory and quickly generate maximum intensity projections (MIP) of each scan (see Figure</w:t>
      </w:r>
      <w:r>
        <w:t xml:space="preserve"> </w:t>
      </w:r>
      <w:hyperlink w:anchor="fig:mips">
        <w:r>
          <w:rPr>
            <w:rStyle w:val="Hyperlink"/>
          </w:rPr>
          <w:t xml:space="preserve">3</w:t>
        </w:r>
      </w:hyperlink>
      <w:r>
        <w:t xml:space="preserve"> </w:t>
      </w:r>
      <w:r>
        <w:t xml:space="preserve">for an example) for both quality control and further processing.</w:t>
      </w:r>
    </w:p>
    <w:bookmarkStart w:id="0" w:name="fig:mips"/>
    <w:p>
      <w:pPr>
        <w:pStyle w:val="CaptionedFigure"/>
      </w:pPr>
      <w:bookmarkStart w:id="99" w:name="fig:mips"/>
      <w:r>
        <w:drawing>
          <wp:inline>
            <wp:extent cx="5943600" cy="2890802"/>
            <wp:effectExtent b="0" l="0" r="0" t="0"/>
            <wp:docPr descr="Figure 3: Maximum intensity projections of one acquired dataset along the three cardinal axes." title="" id="97" name="Picture"/>
            <a:graphic>
              <a:graphicData uri="http://schemas.openxmlformats.org/drawingml/2006/picture">
                <pic:pic>
                  <pic:nvPicPr>
                    <pic:cNvPr descr="images/Sticklebucket_H.rec.MIPs.png" id="98" name="Picture"/>
                    <pic:cNvPicPr>
                      <a:picLocks noChangeArrowheads="1" noChangeAspect="1"/>
                    </pic:cNvPicPr>
                  </pic:nvPicPr>
                  <pic:blipFill>
                    <a:blip r:embed="rId96"/>
                    <a:stretch>
                      <a:fillRect/>
                    </a:stretch>
                  </pic:blipFill>
                  <pic:spPr bwMode="auto">
                    <a:xfrm>
                      <a:off x="0" y="0"/>
                      <a:ext cx="5943600" cy="2890802"/>
                    </a:xfrm>
                    <a:prstGeom prst="rect">
                      <a:avLst/>
                    </a:prstGeom>
                    <a:noFill/>
                    <a:ln w="9525">
                      <a:noFill/>
                      <a:headEnd/>
                      <a:tailEnd/>
                    </a:ln>
                  </pic:spPr>
                </pic:pic>
              </a:graphicData>
            </a:graphic>
          </wp:inline>
        </w:drawing>
      </w:r>
      <w:bookmarkEnd w:id="99"/>
    </w:p>
    <w:p>
      <w:pPr>
        <w:pStyle w:val="ImageCaption"/>
      </w:pPr>
      <w:r>
        <w:t xml:space="preserve">Figure 3: Maximum intensity projections of one acquired dataset along the three cardinal axes.</w:t>
      </w:r>
    </w:p>
    <w:bookmarkEnd w:id="0"/>
    <w:bookmarkEnd w:id="100"/>
    <w:bookmarkStart w:id="124" w:name="separation-notebook"/>
    <w:p>
      <w:pPr>
        <w:pStyle w:val="Heading5"/>
      </w:pPr>
      <w:r>
        <w:t xml:space="preserve">Separation Notebook</w:t>
      </w:r>
    </w:p>
    <w:p>
      <w:pPr>
        <w:pStyle w:val="FirstParagraph"/>
      </w:pPr>
      <w:r>
        <w:t xml:space="preserve">The</w:t>
      </w:r>
      <w:r>
        <w:t xml:space="preserve"> </w:t>
      </w:r>
      <w:hyperlink r:id="rId101">
        <w:r>
          <w:rPr>
            <w:rStyle w:val="Hyperlink"/>
          </w:rPr>
          <w:t xml:space="preserve">separation notebook</w:t>
        </w:r>
      </w:hyperlink>
      <w:r>
        <w:t xml:space="preserve"> </w:t>
      </w:r>
      <w:r>
        <w:t xml:space="preserve">processes all the acquired scans to extract each individual fish from each scan that encompasses six fish in total.</w:t>
      </w:r>
      <w:r>
        <w:t xml:space="preserve"> </w:t>
      </w:r>
      <w:r>
        <w:t xml:space="preserve">As in the preview notebook, we efficiently load all the</w:t>
      </w:r>
      <w:r>
        <w:t xml:space="preserve"> </w:t>
      </w:r>
      <w:r>
        <w:rPr>
          <w:rStyle w:val="VerbatimChar"/>
        </w:rPr>
        <w:t xml:space="preserve">png</w:t>
      </w:r>
      <w:r>
        <w:t xml:space="preserve">s from disk with</w:t>
      </w:r>
      <w:r>
        <w:t xml:space="preserve"> </w:t>
      </w:r>
      <w:hyperlink r:id="rId102">
        <w:r>
          <w:rPr>
            <w:rStyle w:val="VerbatimChar"/>
          </w:rPr>
          <w:t xml:space="preserve">dask</w:t>
        </w:r>
      </w:hyperlink>
      <w:r>
        <w:t xml:space="preserve"> </w:t>
      </w:r>
      <w:r>
        <w:t xml:space="preserve">(</w:t>
      </w:r>
      <w:hyperlink w:anchor="ref-hj1CnyWB">
        <w:r>
          <w:rPr>
            <w:rStyle w:val="Hyperlink"/>
          </w:rPr>
          <w:t xml:space="preserve">Dask Development Team, 2016</w:t>
        </w:r>
      </w:hyperlink>
      <w:r>
        <w:t xml:space="preserve">)</w:t>
      </w:r>
      <w:r>
        <w:t xml:space="preserve">.</w:t>
      </w:r>
    </w:p>
    <w:p>
      <w:pPr>
        <w:pStyle w:val="BodyText"/>
      </w:pPr>
      <w:r>
        <w:t xml:space="preserve">A connected region labeling (</w:t>
      </w:r>
      <w:hyperlink r:id="rId103">
        <w:r>
          <w:rPr>
            <w:rStyle w:val="VerbatimChar"/>
          </w:rPr>
          <w:t xml:space="preserve">skimage.measure.label</w:t>
        </w:r>
      </w:hyperlink>
      <w:r>
        <w:t xml:space="preserve">) of the previously extracted MIP images was used to detect the single fish in their compartments (see right panel of Figure</w:t>
      </w:r>
      <w:r>
        <w:t xml:space="preserve"> </w:t>
      </w:r>
      <w:hyperlink w:anchor="fig:labels">
        <w:r>
          <w:rPr>
            <w:rStyle w:val="Hyperlink"/>
          </w:rPr>
          <w:t xml:space="preserve">4</w:t>
        </w:r>
      </w:hyperlink>
      <w:r>
        <w:t xml:space="preserve">).</w:t>
      </w:r>
      <w:r>
        <w:t xml:space="preserve"> </w:t>
      </w:r>
      <w:r>
        <w:t xml:space="preserve">The 3D-printed compartment labels of the sample holder were detected in the same way and are highlighted in yellow in the left panel of Figure</w:t>
      </w:r>
      <w:r>
        <w:t xml:space="preserve"> </w:t>
      </w:r>
      <w:hyperlink w:anchor="fig:labels">
        <w:r>
          <w:rPr>
            <w:rStyle w:val="Hyperlink"/>
          </w:rPr>
          <w:t xml:space="preserve">4</w:t>
        </w:r>
      </w:hyperlink>
      <w:r>
        <w:t xml:space="preserve">.</w:t>
      </w:r>
      <w:r>
        <w:t xml:space="preserve"> </w:t>
      </w:r>
      <w:r>
        <w:t xml:space="preserve">Since</w:t>
      </w:r>
      <w:r>
        <w:t xml:space="preserve"> </w:t>
      </w:r>
      <w:r>
        <w:rPr>
          <w:rStyle w:val="VerbatimChar"/>
        </w:rPr>
        <w:t xml:space="preserve">skimage</w:t>
      </w:r>
      <w:r>
        <w:t xml:space="preserve"> </w:t>
      </w:r>
      <w:r>
        <w:t xml:space="preserve">numbers the detected regions in raster order (top to bottom, left to right), this numbering depends on the exact position of each fish within its compartment.</w:t>
      </w:r>
      <w:r>
        <w:t xml:space="preserve"> </w:t>
      </w:r>
      <w:r>
        <w:t xml:space="preserve">Due to a slight tilt of the sample holder in the scanner and inconsistent size of the single fish, the detected numbering does not consistently follow the 3D-printed compartment numbering.</w:t>
      </w:r>
      <w:r>
        <w:t xml:space="preserve"> </w:t>
      </w:r>
      <w:r>
        <w:t xml:space="preserve">We thus assigned each detected region to a compartment based on the angle of its centroid (</w:t>
      </w:r>
      <w:hyperlink r:id="rId104">
        <w:r>
          <w:rPr>
            <w:rStyle w:val="VerbatimChar"/>
          </w:rPr>
          <w:t xml:space="preserve">skimage.measure.regionprops</w:t>
        </w:r>
      </w:hyperlink>
      <w:r>
        <w:t xml:space="preserve">) around the rotation axis of the scan, which coincides with the center of the sample holder.</w:t>
      </w:r>
      <w:r>
        <w:t xml:space="preserve"> </w:t>
      </w:r>
      <w:r>
        <w:t xml:space="preserve">Each region is assigned to the compartment with the closest nominal direction (spaced by 60°, counted anticlockwise from compartment 1); empty compartments are skipped.</w:t>
      </w:r>
    </w:p>
    <w:p>
      <w:pPr>
        <w:pStyle w:val="BodyText"/>
      </w:pPr>
      <w:r>
        <w:t xml:space="preserve">The bounding boxes of the individual fish in the scan (see right panel of Figure</w:t>
      </w:r>
      <w:r>
        <w:t xml:space="preserve"> </w:t>
      </w:r>
      <w:hyperlink w:anchor="fig:labels">
        <w:r>
          <w:rPr>
            <w:rStyle w:val="Hyperlink"/>
          </w:rPr>
          <w:t xml:space="preserve">4</w:t>
        </w:r>
      </w:hyperlink>
      <w:r>
        <w:t xml:space="preserve">) were used to extract small cropped regions from the large multi-specimen dataset.</w:t>
      </w:r>
      <w:r>
        <w:t xml:space="preserve"> </w:t>
      </w:r>
      <w:r>
        <w:t xml:space="preserve">This extraction process is fully reproducible and is tailored to the arrangement of the samples in the custom sample holder.</w:t>
      </w:r>
    </w:p>
    <w:bookmarkStart w:id="0" w:name="fig:labels"/>
    <w:p>
      <w:pPr>
        <w:pStyle w:val="CaptionedFigure"/>
      </w:pPr>
      <w:bookmarkStart w:id="108" w:name="fig:labels"/>
      <w:r>
        <w:drawing>
          <wp:inline>
            <wp:extent cx="5943600" cy="3079809"/>
            <wp:effectExtent b="0" l="0" r="0" t="0"/>
            <wp:docPr descr="Figure 4: Automatically detected regions based on maximum intensity projection along the rotation axis of the tomographic scan. The left panel shows the highlighted compartment labels as they have been 3D printed. The right panels shows the regions as detected by skimage; they are numbered consecutively from top left to bottom right. These region numbers are assigned to the compartments based on their angle around the rotation axis (see text) and subsequently mapped to the fish ID." title="" id="106" name="Picture"/>
            <a:graphic>
              <a:graphicData uri="http://schemas.openxmlformats.org/drawingml/2006/picture">
                <pic:pic>
                  <pic:nvPicPr>
                    <pic:cNvPr descr="images/Sticklebucket_H.rec.Labels.Detected.png" id="107" name="Picture"/>
                    <pic:cNvPicPr>
                      <a:picLocks noChangeArrowheads="1" noChangeAspect="1"/>
                    </pic:cNvPicPr>
                  </pic:nvPicPr>
                  <pic:blipFill>
                    <a:blip r:embed="rId105"/>
                    <a:stretch>
                      <a:fillRect/>
                    </a:stretch>
                  </pic:blipFill>
                  <pic:spPr bwMode="auto">
                    <a:xfrm>
                      <a:off x="0" y="0"/>
                      <a:ext cx="5943600" cy="3079809"/>
                    </a:xfrm>
                    <a:prstGeom prst="rect">
                      <a:avLst/>
                    </a:prstGeom>
                    <a:noFill/>
                    <a:ln w="9525">
                      <a:noFill/>
                      <a:headEnd/>
                      <a:tailEnd/>
                    </a:ln>
                  </pic:spPr>
                </pic:pic>
              </a:graphicData>
            </a:graphic>
          </wp:inline>
        </w:drawing>
      </w:r>
      <w:bookmarkEnd w:id="108"/>
    </w:p>
    <w:p>
      <w:pPr>
        <w:pStyle w:val="ImageCaption"/>
      </w:pPr>
      <w:r>
        <w:t xml:space="preserve">Figure 4: Automatically detected regions based on maximum intensity projection along the rotation axis of the tomographic scan.</w:t>
      </w:r>
      <w:r>
        <w:t xml:space="preserve"> </w:t>
      </w:r>
      <w:r>
        <w:t xml:space="preserve">The left panel shows the highlighted compartment labels as they have been 3D printed.</w:t>
      </w:r>
      <w:r>
        <w:t xml:space="preserve"> </w:t>
      </w:r>
      <w:r>
        <w:t xml:space="preserve">The right panels shows the regions as detected by</w:t>
      </w:r>
      <w:r>
        <w:t xml:space="preserve"> </w:t>
      </w:r>
      <w:r>
        <w:rPr>
          <w:rStyle w:val="VerbatimChar"/>
        </w:rPr>
        <w:t xml:space="preserve">skimage</w:t>
      </w:r>
      <w:r>
        <w:t xml:space="preserve">; they are numbered consecutively from top left to bottom right.</w:t>
      </w:r>
      <w:r>
        <w:t xml:space="preserve"> </w:t>
      </w:r>
      <w:r>
        <w:t xml:space="preserve">These region numbers are assigned to the compartments based on their angle around the rotation axis (see text) and subsequently mapped to the fish ID.</w:t>
      </w:r>
    </w:p>
    <w:bookmarkEnd w:id="0"/>
    <w:p>
      <w:pPr>
        <w:pStyle w:val="BodyText"/>
      </w:pPr>
      <w:r>
        <w:t xml:space="preserve">We then mapped the compartment numbers to the ID numbers of the scanned fish, as noted in the lab book during sample mounting, and presented these images together with photos of the lab book and sample tubes for visual verification (see Figure</w:t>
      </w:r>
      <w:r>
        <w:t xml:space="preserve"> </w:t>
      </w:r>
      <w:hyperlink w:anchor="fig:checking">
        <w:r>
          <w:rPr>
            <w:rStyle w:val="Hyperlink"/>
          </w:rPr>
          <w:t xml:space="preserve">5</w:t>
        </w:r>
      </w:hyperlink>
      <w:r>
        <w:t xml:space="preserve">).</w:t>
      </w:r>
    </w:p>
    <w:bookmarkStart w:id="0" w:name="fig:checking"/>
    <w:p>
      <w:pPr>
        <w:pStyle w:val="CaptionedFigure"/>
      </w:pPr>
      <w:bookmarkStart w:id="112" w:name="fig:checking"/>
      <w:r>
        <w:drawing>
          <wp:inline>
            <wp:extent cx="5943600" cy="5071982"/>
            <wp:effectExtent b="0" l="0" r="0" t="0"/>
            <wp:docPr descr="Figure 5: Mapping lab book notes, photos, and detected regions to fish ID." title="" id="110" name="Picture"/>
            <a:graphic>
              <a:graphicData uri="http://schemas.openxmlformats.org/drawingml/2006/picture">
                <pic:pic>
                  <pic:nvPicPr>
                    <pic:cNvPr descr="images/Sticklebucket_H.rec.Labels.Check.png" id="111" name="Picture"/>
                    <pic:cNvPicPr>
                      <a:picLocks noChangeArrowheads="1" noChangeAspect="1"/>
                    </pic:cNvPicPr>
                  </pic:nvPicPr>
                  <pic:blipFill>
                    <a:blip r:embed="rId109"/>
                    <a:stretch>
                      <a:fillRect/>
                    </a:stretch>
                  </pic:blipFill>
                  <pic:spPr bwMode="auto">
                    <a:xfrm>
                      <a:off x="0" y="0"/>
                      <a:ext cx="5943600" cy="5071982"/>
                    </a:xfrm>
                    <a:prstGeom prst="rect">
                      <a:avLst/>
                    </a:prstGeom>
                    <a:noFill/>
                    <a:ln w="9525">
                      <a:noFill/>
                      <a:headEnd/>
                      <a:tailEnd/>
                    </a:ln>
                  </pic:spPr>
                </pic:pic>
              </a:graphicData>
            </a:graphic>
          </wp:inline>
        </w:drawing>
      </w:r>
      <w:bookmarkEnd w:id="112"/>
    </w:p>
    <w:p>
      <w:pPr>
        <w:pStyle w:val="ImageCaption"/>
      </w:pPr>
      <w:r>
        <w:t xml:space="preserve">Figure 5: Mapping lab book notes, photos, and detected regions to fish ID.</w:t>
      </w:r>
    </w:p>
    <w:bookmarkEnd w:id="0"/>
    <w:p>
      <w:pPr>
        <w:pStyle w:val="BodyText"/>
      </w:pPr>
      <w:r>
        <w:t xml:space="preserve">We extracted each region of each fish separately from the large reconstructions (with a configurable border buffer; see Figure</w:t>
      </w:r>
      <w:r>
        <w:t xml:space="preserve"> </w:t>
      </w:r>
      <w:hyperlink w:anchor="fig:cropping">
        <w:r>
          <w:rPr>
            <w:rStyle w:val="Hyperlink"/>
          </w:rPr>
          <w:t xml:space="preserve">6</w:t>
        </w:r>
      </w:hyperlink>
      <w:r>
        <w:t xml:space="preserve">) and wrote these extracted regions to disk in discrete folders for efficient further analysis.</w:t>
      </w:r>
      <w:r>
        <w:t xml:space="preserve"> </w:t>
      </w:r>
      <w:r>
        <w:t xml:space="preserve">As a first step, we wrote the regions of the single fish to disk in</w:t>
      </w:r>
      <w:r>
        <w:t xml:space="preserve"> </w:t>
      </w:r>
      <w:r>
        <w:rPr>
          <w:rStyle w:val="VerbatimChar"/>
        </w:rPr>
        <w:t xml:space="preserve">zarr</w:t>
      </w:r>
      <w:r>
        <w:t xml:space="preserve"> </w:t>
      </w:r>
      <w:r>
        <w:t xml:space="preserve">(</w:t>
      </w:r>
      <w:hyperlink w:anchor="ref-p38Gm1rT">
        <w:r>
          <w:rPr>
            <w:rStyle w:val="Hyperlink"/>
          </w:rPr>
          <w:t xml:space="preserve">Miles et al., 2020</w:t>
        </w:r>
      </w:hyperlink>
      <w:r>
        <w:t xml:space="preserve">)</w:t>
      </w:r>
      <w:r>
        <w:t xml:space="preserve"> </w:t>
      </w:r>
      <w:r>
        <w:t xml:space="preserve">format, which is well suited to storing n-dimensional arrays on disk.</w:t>
      </w:r>
      <w:r>
        <w:t xml:space="preserve"> </w:t>
      </w:r>
      <w:r>
        <w:t xml:space="preserve">In addition to this, we also wrote a log file for each extracted region, containing all relevant information to redo the cropping step manually in any image processing software.</w:t>
      </w:r>
      <w:r>
        <w:t xml:space="preserve"> </w:t>
      </w:r>
      <w:r>
        <w:t xml:space="preserve">All these log files are also available in the processing repository; an example of such a log file (from the region shown in Figure</w:t>
      </w:r>
      <w:r>
        <w:t xml:space="preserve"> </w:t>
      </w:r>
      <w:hyperlink w:anchor="fig:SLX23012_3D">
        <w:r>
          <w:rPr>
            <w:rStyle w:val="Hyperlink"/>
          </w:rPr>
          <w:t xml:space="preserve">7</w:t>
        </w:r>
      </w:hyperlink>
      <w:r>
        <w:t xml:space="preserve">) is</w:t>
      </w:r>
      <w:r>
        <w:t xml:space="preserve"> </w:t>
      </w:r>
      <w:hyperlink r:id="rId113">
        <w:r>
          <w:rPr>
            <w:rStyle w:val="Hyperlink"/>
          </w:rPr>
          <w:t xml:space="preserve">shown online here</w:t>
        </w:r>
      </w:hyperlink>
      <w:r>
        <w:t xml:space="preserve">.</w:t>
      </w:r>
    </w:p>
    <w:bookmarkStart w:id="0" w:name="fig:cropping"/>
    <w:p>
      <w:pPr>
        <w:pStyle w:val="CaptionedFigure"/>
      </w:pPr>
      <w:bookmarkStart w:id="117" w:name="fig:cropping"/>
      <w:r>
        <w:drawing>
          <wp:inline>
            <wp:extent cx="5943600" cy="4166074"/>
            <wp:effectExtent b="0" l="0" r="0" t="0"/>
            <wp:docPr descr="Figure 6: Double-checking crop extent and fish ID. The top row shows the extracted regions from the previously calculated MIP of the multi-specimen scan. The bottom row shows the MIP image individually calculated from each of the extracted cropped regions. Both rows must show exactly the same region." title="" id="115" name="Picture"/>
            <a:graphic>
              <a:graphicData uri="http://schemas.openxmlformats.org/drawingml/2006/picture">
                <pic:pic>
                  <pic:nvPicPr>
                    <pic:cNvPr descr="images/Sticklebucket_H.rec.Regions.Check.png" id="116" name="Picture"/>
                    <pic:cNvPicPr>
                      <a:picLocks noChangeArrowheads="1" noChangeAspect="1"/>
                    </pic:cNvPicPr>
                  </pic:nvPicPr>
                  <pic:blipFill>
                    <a:blip r:embed="rId114"/>
                    <a:stretch>
                      <a:fillRect/>
                    </a:stretch>
                  </pic:blipFill>
                  <pic:spPr bwMode="auto">
                    <a:xfrm>
                      <a:off x="0" y="0"/>
                      <a:ext cx="5943600" cy="4166074"/>
                    </a:xfrm>
                    <a:prstGeom prst="rect">
                      <a:avLst/>
                    </a:prstGeom>
                    <a:noFill/>
                    <a:ln w="9525">
                      <a:noFill/>
                      <a:headEnd/>
                      <a:tailEnd/>
                    </a:ln>
                  </pic:spPr>
                </pic:pic>
              </a:graphicData>
            </a:graphic>
          </wp:inline>
        </w:drawing>
      </w:r>
      <w:bookmarkEnd w:id="117"/>
    </w:p>
    <w:p>
      <w:pPr>
        <w:pStyle w:val="ImageCaption"/>
      </w:pPr>
      <w:r>
        <w:t xml:space="preserve">Figure 6: Double-checking crop extent and fish ID.</w:t>
      </w:r>
      <w:r>
        <w:t xml:space="preserve"> </w:t>
      </w:r>
      <w:r>
        <w:t xml:space="preserve">The top row shows the extracted regions from the previously calculated MIP of the multi-specimen scan.</w:t>
      </w:r>
      <w:r>
        <w:t xml:space="preserve"> </w:t>
      </w:r>
      <w:r>
        <w:t xml:space="preserve">The bottom row shows the MIP image individually calculated from each of the extracted cropped regions.</w:t>
      </w:r>
      <w:r>
        <w:t xml:space="preserve"> </w:t>
      </w:r>
      <w:r>
        <w:t xml:space="preserve">Both rows must show exactly the same region.</w:t>
      </w:r>
    </w:p>
    <w:bookmarkEnd w:id="0"/>
    <w:p>
      <w:pPr>
        <w:pStyle w:val="BodyText"/>
      </w:pPr>
      <w:r>
        <w:t xml:space="preserve">Writing the regions as</w:t>
      </w:r>
      <w:r>
        <w:t xml:space="preserve"> </w:t>
      </w:r>
      <w:r>
        <w:rPr>
          <w:rStyle w:val="VerbatimChar"/>
        </w:rPr>
        <w:t xml:space="preserve">zarr</w:t>
      </w:r>
      <w:r>
        <w:t xml:space="preserve"> </w:t>
      </w:r>
      <w:r>
        <w:t xml:space="preserve">files made it possible to efficiently work with the image data of each extracted fish and to convert those data to any desired format for further analysis.</w:t>
      </w:r>
      <w:r>
        <w:t xml:space="preserve"> </w:t>
      </w:r>
      <w:r>
        <w:t xml:space="preserve">For this further analysis, we also wrote stacks of</w:t>
      </w:r>
      <w:r>
        <w:t xml:space="preserve"> </w:t>
      </w:r>
      <w:r>
        <w:rPr>
          <w:rStyle w:val="VerbatimChar"/>
        </w:rPr>
        <w:t xml:space="preserve">png</w:t>
      </w:r>
      <w:r>
        <w:t xml:space="preserve"> </w:t>
      </w:r>
      <w:r>
        <w:t xml:space="preserve">images and</w:t>
      </w:r>
      <w:r>
        <w:t xml:space="preserve"> </w:t>
      </w:r>
      <w:hyperlink r:id="rId118">
        <w:r>
          <w:rPr>
            <w:rStyle w:val="VerbatimChar"/>
          </w:rPr>
          <w:t xml:space="preserve">nrrd</w:t>
        </w:r>
      </w:hyperlink>
      <w:r>
        <w:t xml:space="preserve"> </w:t>
      </w:r>
      <w:r>
        <w:t xml:space="preserve">files for each fish region in both cropped and cropped-and-binarized forms.</w:t>
      </w:r>
      <w:r>
        <w:t xml:space="preserve"> </w:t>
      </w:r>
      <w:r>
        <w:t xml:space="preserve">These binarized regions were segmented into bone and background based on a simple multi-Otsu thresholding algorithm</w:t>
      </w:r>
      <w:r>
        <w:t xml:space="preserve"> </w:t>
      </w:r>
      <w:r>
        <w:t xml:space="preserve">(</w:t>
      </w:r>
      <w:hyperlink w:anchor="ref-JICzDA7P">
        <w:r>
          <w:rPr>
            <w:rStyle w:val="Hyperlink"/>
          </w:rPr>
          <w:t xml:space="preserve">廖炳松 et al., 2001</w:t>
        </w:r>
      </w:hyperlink>
      <w:r>
        <w:t xml:space="preserve">)</w:t>
      </w:r>
      <w:r>
        <w:t xml:space="preserve"> </w:t>
      </w:r>
      <w:r>
        <w:t xml:space="preserve">(with four classes, using only the middle threshold).</w:t>
      </w:r>
      <w:r>
        <w:t xml:space="preserve"> </w:t>
      </w:r>
      <w:r>
        <w:t xml:space="preserve">Providing the regions as</w:t>
      </w:r>
      <w:r>
        <w:t xml:space="preserve"> </w:t>
      </w:r>
      <w:r>
        <w:rPr>
          <w:rStyle w:val="VerbatimChar"/>
        </w:rPr>
        <w:t xml:space="preserve">nrrd</w:t>
      </w:r>
      <w:r>
        <w:t xml:space="preserve"> </w:t>
      </w:r>
      <w:r>
        <w:t xml:space="preserve">files helped to efficiently work with the datasets as specified in the following sections.</w:t>
      </w:r>
    </w:p>
    <w:p>
      <w:pPr>
        <w:pStyle w:val="BodyText"/>
      </w:pPr>
      <w:r>
        <w:t xml:space="preserve">Using either</w:t>
      </w:r>
      <w:r>
        <w:t xml:space="preserve"> </w:t>
      </w:r>
      <w:r>
        <w:rPr>
          <w:rStyle w:val="VerbatimChar"/>
        </w:rPr>
        <w:t xml:space="preserve">K3D-jupyter</w:t>
      </w:r>
      <w:r>
        <w:t xml:space="preserve"> </w:t>
      </w:r>
      <w:r>
        <w:t xml:space="preserve">(</w:t>
      </w:r>
      <w:hyperlink w:anchor="ref-jxVw2kt2">
        <w:r>
          <w:rPr>
            <w:rStyle w:val="Hyperlink"/>
            <w:iCs/>
            <w:i/>
          </w:rPr>
          <w:t xml:space="preserve">Overview</w:t>
        </w:r>
        <w:r>
          <w:rPr>
            <w:rStyle w:val="Hyperlink"/>
          </w:rPr>
          <w:t xml:space="preserve">, n.d.</w:t>
        </w:r>
      </w:hyperlink>
      <w:r>
        <w:t xml:space="preserve">)</w:t>
      </w:r>
      <w:r>
        <w:t xml:space="preserve"> </w:t>
      </w:r>
      <w:r>
        <w:t xml:space="preserve">or</w:t>
      </w:r>
      <w:r>
        <w:t xml:space="preserve"> </w:t>
      </w:r>
      <w:r>
        <w:rPr>
          <w:rStyle w:val="VerbatimChar"/>
        </w:rPr>
        <w:t xml:space="preserve">napari</w:t>
      </w:r>
      <w:r>
        <w:t xml:space="preserve"> </w:t>
      </w:r>
      <w:r>
        <w:t xml:space="preserve">(</w:t>
      </w:r>
      <w:hyperlink w:anchor="ref-YEMgt2T4">
        <w:r>
          <w:rPr>
            <w:rStyle w:val="Hyperlink"/>
          </w:rPr>
          <w:t xml:space="preserve">Sofroniew et al., 2026</w:t>
        </w:r>
      </w:hyperlink>
      <w:r>
        <w:t xml:space="preserve">)</w:t>
      </w:r>
      <w:r>
        <w:t xml:space="preserve">, we implemented a quick way to view any of the extracted regions directly in the Jupyter notebook.</w:t>
      </w:r>
      <w:r>
        <w:t xml:space="preserve"> </w:t>
      </w:r>
      <w:r>
        <w:rPr>
          <w:rStyle w:val="VerbatimChar"/>
        </w:rPr>
        <w:t xml:space="preserve">K3D-jupyter</w:t>
      </w:r>
      <w:r>
        <w:t xml:space="preserve"> </w:t>
      </w:r>
      <w:r>
        <w:t xml:space="preserve">allows saving an interactive version of the preview.</w:t>
      </w:r>
      <w:r>
        <w:t xml:space="preserve"> </w:t>
      </w:r>
      <w:r>
        <w:t xml:space="preserve">One such interactive preview is</w:t>
      </w:r>
      <w:r>
        <w:t xml:space="preserve"> </w:t>
      </w:r>
      <w:hyperlink r:id="rId119">
        <w:r>
          <w:rPr>
            <w:rStyle w:val="Hyperlink"/>
          </w:rPr>
          <w:t xml:space="preserve">available online</w:t>
        </w:r>
      </w:hyperlink>
      <w:r>
        <w:t xml:space="preserve">.</w:t>
      </w:r>
      <w:r>
        <w:t xml:space="preserve"> </w:t>
      </w:r>
      <w:r>
        <w:rPr>
          <w:rStyle w:val="VerbatimChar"/>
        </w:rPr>
        <w:t xml:space="preserve">napari</w:t>
      </w:r>
      <w:r>
        <w:t xml:space="preserve"> </w:t>
      </w:r>
      <w:r>
        <w:t xml:space="preserve">is well suited to load the intermediate</w:t>
      </w:r>
      <w:r>
        <w:t xml:space="preserve"> </w:t>
      </w:r>
      <w:r>
        <w:rPr>
          <w:rStyle w:val="VerbatimChar"/>
        </w:rPr>
        <w:t xml:space="preserve">*.zarr</w:t>
      </w:r>
      <w:r>
        <w:t xml:space="preserve"> </w:t>
      </w:r>
      <w:r>
        <w:t xml:space="preserve">files; Figure</w:t>
      </w:r>
      <w:r>
        <w:t xml:space="preserve"> </w:t>
      </w:r>
      <w:hyperlink w:anchor="fig:SLX23012_3D">
        <w:r>
          <w:rPr>
            <w:rStyle w:val="Hyperlink"/>
          </w:rPr>
          <w:t xml:space="preserve">7</w:t>
        </w:r>
      </w:hyperlink>
      <w:r>
        <w:t xml:space="preserve"> </w:t>
      </w:r>
      <w:r>
        <w:t xml:space="preserve">shows such a preview.</w:t>
      </w:r>
    </w:p>
    <w:bookmarkStart w:id="0" w:name="fig:SLX23012_3D"/>
    <w:p>
      <w:pPr>
        <w:pStyle w:val="CaptionedFigure"/>
      </w:pPr>
      <w:bookmarkStart w:id="123" w:name="fig:SLX23012_3D"/>
      <w:r>
        <w:drawing>
          <wp:inline>
            <wp:extent cx="5943600" cy="2956335"/>
            <wp:effectExtent b="0" l="0" r="0" t="0"/>
            <wp:docPr descr="Figure 7: Three-dimensional visualization of one extracted region. Extracted region (label 1 visible upside-down on the left) at the bottom, automatically thresholded region (threshold value: 50) on top. Visualization created with napari (Version 0.6.1, (Sofroniew et al., 2026))." title="" id="121" name="Picture"/>
            <a:graphic>
              <a:graphicData uri="http://schemas.openxmlformats.org/drawingml/2006/picture">
                <pic:pic>
                  <pic:nvPicPr>
                    <pic:cNvPr descr="images/SL.X23.012.3D.png" id="122" name="Picture"/>
                    <pic:cNvPicPr>
                      <a:picLocks noChangeArrowheads="1" noChangeAspect="1"/>
                    </pic:cNvPicPr>
                  </pic:nvPicPr>
                  <pic:blipFill>
                    <a:blip r:embed="rId120"/>
                    <a:stretch>
                      <a:fillRect/>
                    </a:stretch>
                  </pic:blipFill>
                  <pic:spPr bwMode="auto">
                    <a:xfrm>
                      <a:off x="0" y="0"/>
                      <a:ext cx="5943600" cy="2956335"/>
                    </a:xfrm>
                    <a:prstGeom prst="rect">
                      <a:avLst/>
                    </a:prstGeom>
                    <a:noFill/>
                    <a:ln w="9525">
                      <a:noFill/>
                      <a:headEnd/>
                      <a:tailEnd/>
                    </a:ln>
                  </pic:spPr>
                </pic:pic>
              </a:graphicData>
            </a:graphic>
          </wp:inline>
        </w:drawing>
      </w:r>
      <w:bookmarkEnd w:id="123"/>
    </w:p>
    <w:p>
      <w:pPr>
        <w:pStyle w:val="ImageCaption"/>
      </w:pPr>
      <w:r>
        <w:t xml:space="preserve">Figure 7: Three-dimensional visualization of one extracted region.</w:t>
      </w:r>
      <w:r>
        <w:t xml:space="preserve"> </w:t>
      </w:r>
      <w:r>
        <w:t xml:space="preserve">Extracted region (label 1 visible upside-down on the left) at the bottom, automatically thresholded region (threshold value: 50) on top.</w:t>
      </w:r>
      <w:r>
        <w:t xml:space="preserve"> </w:t>
      </w:r>
      <w:r>
        <w:t xml:space="preserve">Visualization created with</w:t>
      </w:r>
      <w:r>
        <w:t xml:space="preserve"> </w:t>
      </w:r>
      <w:r>
        <w:rPr>
          <w:rStyle w:val="VerbatimChar"/>
        </w:rPr>
        <w:t xml:space="preserve">napari</w:t>
      </w:r>
      <w:r>
        <w:t xml:space="preserve"> </w:t>
      </w:r>
      <w:r>
        <w:t xml:space="preserve">(Version 0.6.1,</w:t>
      </w:r>
      <w:r>
        <w:t xml:space="preserve"> </w:t>
      </w:r>
      <w:r>
        <w:t xml:space="preserve">(</w:t>
      </w:r>
      <w:hyperlink w:anchor="ref-YEMgt2T4">
        <w:r>
          <w:rPr>
            <w:rStyle w:val="Hyperlink"/>
          </w:rPr>
          <w:t xml:space="preserve">Sofroniew et al., 2026</w:t>
        </w:r>
      </w:hyperlink>
      <w:r>
        <w:t xml:space="preserve">)</w:t>
      </w:r>
      <w:r>
        <w:t xml:space="preserve">).</w:t>
      </w:r>
    </w:p>
    <w:bookmarkEnd w:id="0"/>
    <w:bookmarkEnd w:id="124"/>
    <w:bookmarkEnd w:id="125"/>
    <w:bookmarkStart w:id="130" w:name="extraction-of-features-of-interest"/>
    <w:p>
      <w:pPr>
        <w:pStyle w:val="Heading4"/>
      </w:pPr>
      <w:r>
        <w:t xml:space="preserve">Extraction of Features of Interest</w:t>
      </w:r>
    </w:p>
    <w:p>
      <w:pPr>
        <w:pStyle w:val="FirstParagraph"/>
      </w:pPr>
      <w:r>
        <w:t xml:space="preserve">After separation, the cropped image files were checked and rendered using 3D Slicer</w:t>
      </w:r>
      <w:r>
        <w:t xml:space="preserve"> </w:t>
      </w:r>
      <w:r>
        <w:t xml:space="preserve">(</w:t>
      </w:r>
      <w:hyperlink w:anchor="ref-EsDua5wx">
        <w:r>
          <w:rPr>
            <w:rStyle w:val="Hyperlink"/>
          </w:rPr>
          <w:t xml:space="preserve">Kikinis et al., 2013</w:t>
        </w:r>
      </w:hyperlink>
      <w:r>
        <w:t xml:space="preserve">)</w:t>
      </w:r>
      <w:r>
        <w:t xml:space="preserve"> </w:t>
      </w:r>
      <w:r>
        <w:t xml:space="preserve">and the SlicerMorph extension</w:t>
      </w:r>
      <w:r>
        <w:t xml:space="preserve"> </w:t>
      </w:r>
      <w:r>
        <w:t xml:space="preserve">(</w:t>
      </w:r>
      <w:hyperlink w:anchor="ref-MwdN6kPV">
        <w:r>
          <w:rPr>
            <w:rStyle w:val="Hyperlink"/>
          </w:rPr>
          <w:t xml:space="preserve">Rolfe et al., 2021</w:t>
        </w:r>
      </w:hyperlink>
      <w:r>
        <w:t xml:space="preserve">)</w:t>
      </w:r>
      <w:r>
        <w:t xml:space="preserve">.</w:t>
      </w:r>
      <w:r>
        <w:t xml:space="preserve"> </w:t>
      </w:r>
      <w:r>
        <w:t xml:space="preserve">A subset of 51 specimens was chosen to create an initial training dataset.</w:t>
      </w:r>
      <w:r>
        <w:t xml:space="preserve"> </w:t>
      </w:r>
      <w:r>
        <w:t xml:space="preserve">For these samples, individual elements of the branchial apparatus were rendered and cleaned by hand using a combination of thresholding and</w:t>
      </w:r>
      <w:r>
        <w:t xml:space="preserve"> </w:t>
      </w:r>
      <w:r>
        <w:t xml:space="preserve">“</w:t>
      </w:r>
      <w:r>
        <w:t xml:space="preserve">Split Islands</w:t>
      </w:r>
      <w:r>
        <w:t xml:space="preserve">”</w:t>
      </w:r>
      <w:r>
        <w:t xml:space="preserve"> </w:t>
      </w:r>
      <w:r>
        <w:t xml:space="preserve">tools to separate the pharyngobranchials, epibranchials, basibranchials, hypobranchials, and ceratobranchials as distinct labels (see Figure</w:t>
      </w:r>
      <w:r>
        <w:t xml:space="preserve"> </w:t>
      </w:r>
      <w:hyperlink w:anchor="fig:branchial_anatomy">
        <w:r>
          <w:rPr>
            <w:rStyle w:val="Hyperlink"/>
          </w:rPr>
          <w:t xml:space="preserve">8</w:t>
        </w:r>
      </w:hyperlink>
      <w:r>
        <w:t xml:space="preserve">).</w:t>
      </w:r>
    </w:p>
    <w:bookmarkStart w:id="0" w:name="fig:branchial_anatomy"/>
    <w:p>
      <w:pPr>
        <w:pStyle w:val="CaptionedFigure"/>
      </w:pPr>
      <w:bookmarkStart w:id="129" w:name="fig:branchial_anatomy"/>
      <w:r>
        <w:drawing>
          <wp:inline>
            <wp:extent cx="5943600" cy="3914078"/>
            <wp:effectExtent b="0" l="0" r="0" t="0"/>
            <wp:docPr descr="Figure 8: Example of branchial anatomy with CB1 and CB2 highlighted in pink. Abbreviations: PB = pharyngobranchials, EB = epibranchials, BB = basibranchials, HB = hypobranchials, CB = ceratobranchials." title="" id="127" name="Picture"/>
            <a:graphic>
              <a:graphicData uri="http://schemas.openxmlformats.org/drawingml/2006/picture">
                <pic:pic>
                  <pic:nvPicPr>
                    <pic:cNvPr descr="images/Branchial_Figure.png" id="128" name="Picture"/>
                    <pic:cNvPicPr>
                      <a:picLocks noChangeArrowheads="1" noChangeAspect="1"/>
                    </pic:cNvPicPr>
                  </pic:nvPicPr>
                  <pic:blipFill>
                    <a:blip r:embed="rId126"/>
                    <a:stretch>
                      <a:fillRect/>
                    </a:stretch>
                  </pic:blipFill>
                  <pic:spPr bwMode="auto">
                    <a:xfrm>
                      <a:off x="0" y="0"/>
                      <a:ext cx="5943600" cy="3914078"/>
                    </a:xfrm>
                    <a:prstGeom prst="rect">
                      <a:avLst/>
                    </a:prstGeom>
                    <a:noFill/>
                    <a:ln w="9525">
                      <a:noFill/>
                      <a:headEnd/>
                      <a:tailEnd/>
                    </a:ln>
                  </pic:spPr>
                </pic:pic>
              </a:graphicData>
            </a:graphic>
          </wp:inline>
        </w:drawing>
      </w:r>
      <w:bookmarkEnd w:id="129"/>
    </w:p>
    <w:p>
      <w:pPr>
        <w:pStyle w:val="ImageCaption"/>
      </w:pPr>
      <w:r>
        <w:t xml:space="preserve">Figure 8: Example of branchial anatomy with CB1 and CB2 highlighted in pink.</w:t>
      </w:r>
      <w:r>
        <w:t xml:space="preserve"> </w:t>
      </w:r>
      <w:r>
        <w:t xml:space="preserve">Abbreviations: PB = pharyngobranchials, EB = epibranchials, BB = basibranchials, HB = hypobranchials, CB = ceratobranchials.</w:t>
      </w:r>
    </w:p>
    <w:bookmarkEnd w:id="0"/>
    <w:p>
      <w:pPr>
        <w:pStyle w:val="BodyText"/>
      </w:pPr>
      <w:r>
        <w:t xml:space="preserve">Once segmented, the labels corresponding to each set of bones were exported as a colored labelmap along with the</w:t>
      </w:r>
      <w:r>
        <w:t xml:space="preserve"> </w:t>
      </w:r>
      <w:r>
        <w:rPr>
          <w:rStyle w:val="VerbatimChar"/>
        </w:rPr>
        <w:t xml:space="preserve">nrrd</w:t>
      </w:r>
      <w:r>
        <w:t xml:space="preserve"> </w:t>
      </w:r>
      <w:r>
        <w:t xml:space="preserve">file from which they were segmented to pass to Biomedisa.</w:t>
      </w:r>
    </w:p>
    <w:bookmarkEnd w:id="130"/>
    <w:bookmarkStart w:id="131" w:name="machine-learning-and-model-training"/>
    <w:p>
      <w:pPr>
        <w:pStyle w:val="Heading4"/>
      </w:pPr>
      <w:r>
        <w:t xml:space="preserve">Machine Learning and Model Training</w:t>
      </w:r>
    </w:p>
    <w:p>
      <w:pPr>
        <w:pStyle w:val="FirstParagraph"/>
      </w:pPr>
      <w:r>
        <w:t xml:space="preserve">The hand-labeled dataset of 51 samples (including</w:t>
      </w:r>
      <w:r>
        <w:t xml:space="preserve"> </w:t>
      </w:r>
      <w:r>
        <w:rPr>
          <w:rStyle w:val="VerbatimChar"/>
        </w:rPr>
        <w:t xml:space="preserve">nrrd</w:t>
      </w:r>
      <w:r>
        <w:t xml:space="preserve"> </w:t>
      </w:r>
      <w:r>
        <w:t xml:space="preserve">and</w:t>
      </w:r>
      <w:r>
        <w:t xml:space="preserve"> </w:t>
      </w:r>
      <w:r>
        <w:rPr>
          <w:rStyle w:val="VerbatimChar"/>
        </w:rPr>
        <w:t xml:space="preserve">label</w:t>
      </w:r>
      <w:r>
        <w:t xml:space="preserve"> </w:t>
      </w:r>
      <w:r>
        <w:t xml:space="preserve">files) was input into Biomedisa</w:t>
      </w:r>
      <w:r>
        <w:t xml:space="preserve"> </w:t>
      </w:r>
      <w:r>
        <w:t xml:space="preserve">(</w:t>
      </w:r>
      <w:hyperlink w:anchor="ref-jHalJ9Zw">
        <w:r>
          <w:rPr>
            <w:rStyle w:val="Hyperlink"/>
          </w:rPr>
          <w:t xml:space="preserve">Lösel et al., 2020</w:t>
        </w:r>
      </w:hyperlink>
      <w:r>
        <w:t xml:space="preserve">)</w:t>
      </w:r>
      <w:r>
        <w:t xml:space="preserve"> </w:t>
      </w:r>
      <w:r>
        <w:t xml:space="preserve">to train a segmentation model.</w:t>
      </w:r>
      <w:r>
        <w:t xml:space="preserve"> </w:t>
      </w:r>
      <w:r>
        <w:t xml:space="preserve">We allowed a 180° rotation to account for possible specimen variability, with an 80/20 split between training and validation data.</w:t>
      </w:r>
      <w:r>
        <w:t xml:space="preserve"> </w:t>
      </w:r>
      <w:r>
        <w:t xml:space="preserve">The model was trained with a batch size of 24 for 50 epochs, using a network architecture of 32-64-128-256-512.</w:t>
      </w:r>
      <w:r>
        <w:t xml:space="preserve"> </w:t>
      </w:r>
      <w:r>
        <w:t xml:space="preserve">The final model performs well, with a Dice score of 0.9159 on the validation dataset.</w:t>
      </w:r>
      <w:r>
        <w:t xml:space="preserve"> </w:t>
      </w:r>
      <w:r>
        <w:t xml:space="preserve">We only performed manual touch-ups on the resulting segmentation output where the adjacent bones were in close proximity (causing their appearance to be</w:t>
      </w:r>
      <w:r>
        <w:t xml:space="preserve"> </w:t>
      </w:r>
      <w:r>
        <w:t xml:space="preserve">“</w:t>
      </w:r>
      <w:r>
        <w:t xml:space="preserve">stuck</w:t>
      </w:r>
      <w:r>
        <w:t xml:space="preserve">”</w:t>
      </w:r>
      <w:r>
        <w:t xml:space="preserve"> </w:t>
      </w:r>
      <w:r>
        <w:t xml:space="preserve">in the final render; this is also an issue with manual segmentation and not exclusive to the approach described here).</w:t>
      </w:r>
    </w:p>
    <w:bookmarkEnd w:id="131"/>
    <w:bookmarkStart w:id="136" w:name="landmarking-of-models"/>
    <w:p>
      <w:pPr>
        <w:pStyle w:val="Heading4"/>
      </w:pPr>
      <w:r>
        <w:t xml:space="preserve">Landmarking of Models</w:t>
      </w:r>
    </w:p>
    <w:p>
      <w:pPr>
        <w:pStyle w:val="FirstParagraph"/>
      </w:pPr>
      <w:r>
        <w:t xml:space="preserve">To demonstrate the effectiveness of this tool and the importance of 3D morphometry to answer evolutionary questions, we quantified the shape differences of the ceratobranchial bones.</w:t>
      </w:r>
      <w:r>
        <w:t xml:space="preserve"> </w:t>
      </w:r>
      <w:r>
        <w:t xml:space="preserve">Once trained, we applied the Biomedisa segmentation model to the remaining 160 specimens, resulting in segmentation labels for all structures in the branchial apparatus.</w:t>
      </w:r>
    </w:p>
    <w:p>
      <w:pPr>
        <w:pStyle w:val="BodyText"/>
      </w:pPr>
      <w:r>
        <w:t xml:space="preserve">As a test and for subsequent analysis, only the first and second right ceratobranchials were chosen for comparison between all samples.</w:t>
      </w:r>
      <w:r>
        <w:t xml:space="preserve"> </w:t>
      </w:r>
      <w:r>
        <w:t xml:space="preserve">The segmentation labels corresponding to these bones were imported together for landmarking using Stratovan Checkpoint</w:t>
      </w:r>
      <w:r>
        <w:t xml:space="preserve"> </w:t>
      </w:r>
      <w:r>
        <w:t xml:space="preserve">(</w:t>
      </w:r>
      <w:hyperlink w:anchor="ref-1EuiurioH">
        <w:r>
          <w:rPr>
            <w:rStyle w:val="Hyperlink"/>
          </w:rPr>
          <w:t xml:space="preserve">Stratovan Corporation, n.d.</w:t>
        </w:r>
      </w:hyperlink>
      <w:r>
        <w:t xml:space="preserve">)</w:t>
      </w:r>
      <w:r>
        <w:t xml:space="preserve">.</w:t>
      </w:r>
    </w:p>
    <w:p>
      <w:pPr>
        <w:pStyle w:val="BodyText"/>
      </w:pPr>
      <w:r>
        <w:t xml:space="preserve">Type II landmarks were placed at the ends of each bone, with semi-landmarks between them to cover the curvature axes along the bone (see Figure</w:t>
      </w:r>
      <w:r>
        <w:t xml:space="preserve"> </w:t>
      </w:r>
      <w:hyperlink w:anchor="fig:landmarks">
        <w:r>
          <w:rPr>
            <w:rStyle w:val="Hyperlink"/>
          </w:rPr>
          <w:t xml:space="preserve">9</w:t>
        </w:r>
      </w:hyperlink>
      <w:r>
        <w:t xml:space="preserve">).</w:t>
      </w:r>
      <w:r>
        <w:t xml:space="preserve"> </w:t>
      </w:r>
      <w:r>
        <w:t xml:space="preserve">In total, seven landmarks and four semi-landmark curves (two containing 20 semi-landmarks, two containing 15) were placed on the first ceratobranchial (CB1), and five landmarks and three semi-landmark curves (one containing 20 semi-landmarks, two containing 15) were placed on the second ceratobranchial (CB2).</w:t>
      </w:r>
      <w:r>
        <w:t xml:space="preserve"> </w:t>
      </w:r>
      <w:r>
        <w:t xml:space="preserve">Equal distances were ensured using the</w:t>
      </w:r>
      <w:r>
        <w:t xml:space="preserve"> </w:t>
      </w:r>
      <w:r>
        <w:rPr>
          <w:rStyle w:val="VerbatimChar"/>
        </w:rPr>
        <w:t xml:space="preserve">resample_curves</w:t>
      </w:r>
      <w:r>
        <w:t xml:space="preserve"> </w:t>
      </w:r>
      <w:r>
        <w:t xml:space="preserve">function in 3D Slicer.</w:t>
      </w:r>
    </w:p>
    <w:bookmarkStart w:id="0" w:name="fig:landmarks"/>
    <w:p>
      <w:pPr>
        <w:pStyle w:val="CaptionedFigure"/>
      </w:pPr>
      <w:bookmarkStart w:id="135" w:name="fig:landmarks"/>
      <w:r>
        <w:drawing>
          <wp:inline>
            <wp:extent cx="5943600" cy="4397123"/>
            <wp:effectExtent b="0" l="0" r="0" t="0"/>
            <wp:docPr descr="Figure 9: Landmarks on the dorsal (a) and ventral (b) surfaces." title="" id="133" name="Picture"/>
            <a:graphic>
              <a:graphicData uri="http://schemas.openxmlformats.org/drawingml/2006/picture">
                <pic:pic>
                  <pic:nvPicPr>
                    <pic:cNvPr descr="images/Landmark_Figure.png" id="134" name="Picture"/>
                    <pic:cNvPicPr>
                      <a:picLocks noChangeArrowheads="1" noChangeAspect="1"/>
                    </pic:cNvPicPr>
                  </pic:nvPicPr>
                  <pic:blipFill>
                    <a:blip r:embed="rId132"/>
                    <a:stretch>
                      <a:fillRect/>
                    </a:stretch>
                  </pic:blipFill>
                  <pic:spPr bwMode="auto">
                    <a:xfrm>
                      <a:off x="0" y="0"/>
                      <a:ext cx="5943600" cy="4397123"/>
                    </a:xfrm>
                    <a:prstGeom prst="rect">
                      <a:avLst/>
                    </a:prstGeom>
                    <a:noFill/>
                    <a:ln w="9525">
                      <a:noFill/>
                      <a:headEnd/>
                      <a:tailEnd/>
                    </a:ln>
                  </pic:spPr>
                </pic:pic>
              </a:graphicData>
            </a:graphic>
          </wp:inline>
        </w:drawing>
      </w:r>
      <w:bookmarkEnd w:id="135"/>
    </w:p>
    <w:p>
      <w:pPr>
        <w:pStyle w:val="ImageCaption"/>
      </w:pPr>
      <w:r>
        <w:t xml:space="preserve">Figure 9: Landmarks on the dorsal (a) and ventral (b) surfaces.</w:t>
      </w:r>
    </w:p>
    <w:bookmarkEnd w:id="0"/>
    <w:bookmarkEnd w:id="136"/>
    <w:bookmarkStart w:id="140" w:name="analysis-of-shape"/>
    <w:p>
      <w:pPr>
        <w:pStyle w:val="Heading4"/>
      </w:pPr>
      <w:r>
        <w:t xml:space="preserve">Analysis of Shape</w:t>
      </w:r>
    </w:p>
    <w:p>
      <w:pPr>
        <w:pStyle w:val="FirstParagraph"/>
      </w:pPr>
      <w:r>
        <w:t xml:space="preserve">All subsequent analyses were run using R (version 4.4.1,</w:t>
      </w:r>
      <w:r>
        <w:t xml:space="preserve"> </w:t>
      </w:r>
      <w:r>
        <w:t xml:space="preserve">(</w:t>
      </w:r>
      <w:hyperlink w:anchor="ref-whEyWyQh">
        <w:r>
          <w:rPr>
            <w:rStyle w:val="Hyperlink"/>
          </w:rPr>
          <w:t xml:space="preserve">R Core Team, 2021</w:t>
        </w:r>
      </w:hyperlink>
      <w:r>
        <w:t xml:space="preserve">)</w:t>
      </w:r>
      <w:r>
        <w:t xml:space="preserve">) and the geomorph package</w:t>
      </w:r>
      <w:r>
        <w:t xml:space="preserve"> </w:t>
      </w:r>
      <w:r>
        <w:t xml:space="preserve">(</w:t>
      </w:r>
      <w:hyperlink w:anchor="ref-vVigKiE">
        <w:r>
          <w:rPr>
            <w:rStyle w:val="Hyperlink"/>
          </w:rPr>
          <w:t xml:space="preserve">Adams et al., 2012</w:t>
        </w:r>
      </w:hyperlink>
      <w:r>
        <w:t xml:space="preserve">;</w:t>
      </w:r>
      <w:r>
        <w:t xml:space="preserve"> </w:t>
      </w:r>
      <w:hyperlink w:anchor="ref-100JsQfhF">
        <w:r>
          <w:rPr>
            <w:rStyle w:val="Hyperlink"/>
          </w:rPr>
          <w:t xml:space="preserve">Baken et al., 2021</w:t>
        </w:r>
      </w:hyperlink>
      <w:r>
        <w:t xml:space="preserve">;</w:t>
      </w:r>
      <w:r>
        <w:t xml:space="preserve"> </w:t>
      </w:r>
      <w:hyperlink w:anchor="ref-VPUOQA2P">
        <w:r>
          <w:rPr>
            <w:rStyle w:val="Hyperlink"/>
          </w:rPr>
          <w:t xml:space="preserve">M. L. Collyer &amp; Adams, 2018</w:t>
        </w:r>
      </w:hyperlink>
      <w:r>
        <w:t xml:space="preserve">;</w:t>
      </w:r>
      <w:r>
        <w:t xml:space="preserve"> </w:t>
      </w:r>
      <w:hyperlink w:anchor="ref-1FNzpGn6o">
        <w:r>
          <w:rPr>
            <w:rStyle w:val="Hyperlink"/>
          </w:rPr>
          <w:t xml:space="preserve">M. Collyer &amp; Adams, 2018</w:t>
        </w:r>
      </w:hyperlink>
      <w:r>
        <w:t xml:space="preserve">)</w:t>
      </w:r>
      <w:r>
        <w:t xml:space="preserve">.</w:t>
      </w:r>
      <w:r>
        <w:t xml:space="preserve"> </w:t>
      </w:r>
      <w:r>
        <w:t xml:space="preserve">Landmarks corresponding to each bone were split and analyzed separately after generalized Procrustes analysis (GPA) using the</w:t>
      </w:r>
      <w:r>
        <w:t xml:space="preserve"> </w:t>
      </w:r>
      <w:hyperlink r:id="rId137">
        <w:r>
          <w:rPr>
            <w:rStyle w:val="VerbatimChar"/>
          </w:rPr>
          <w:t xml:space="preserve">gpagen()</w:t>
        </w:r>
      </w:hyperlink>
      <w:r>
        <w:t xml:space="preserve"> </w:t>
      </w:r>
      <w:r>
        <w:t xml:space="preserve">function, with principal component analysis (PCA) and linear models run with</w:t>
      </w:r>
      <w:r>
        <w:t xml:space="preserve"> </w:t>
      </w:r>
      <w:hyperlink r:id="rId138">
        <w:r>
          <w:rPr>
            <w:rStyle w:val="VerbatimChar"/>
          </w:rPr>
          <w:t xml:space="preserve">gm.prcomp()</w:t>
        </w:r>
      </w:hyperlink>
      <w:r>
        <w:t xml:space="preserve"> </w:t>
      </w:r>
      <w:r>
        <w:t xml:space="preserve">and</w:t>
      </w:r>
      <w:r>
        <w:t xml:space="preserve"> </w:t>
      </w:r>
      <w:hyperlink r:id="rId139">
        <w:r>
          <w:rPr>
            <w:rStyle w:val="VerbatimChar"/>
          </w:rPr>
          <w:t xml:space="preserve">procD.lm()</w:t>
        </w:r>
      </w:hyperlink>
      <w:r>
        <w:t xml:space="preserve">, respectively.</w:t>
      </w:r>
      <w:r>
        <w:t xml:space="preserve"> </w:t>
      </w:r>
      <w:r>
        <w:t xml:space="preserve">Linear fits were further investigated using the</w:t>
      </w:r>
      <w:r>
        <w:t xml:space="preserve"> </w:t>
      </w:r>
      <w:r>
        <w:rPr>
          <w:rStyle w:val="VerbatimChar"/>
        </w:rPr>
        <w:t xml:space="preserve">pairwise()</w:t>
      </w:r>
      <w:r>
        <w:t xml:space="preserve"> </w:t>
      </w:r>
      <w:r>
        <w:t xml:space="preserve">function to analyze differences in pairwise statistics.</w:t>
      </w:r>
    </w:p>
    <w:bookmarkEnd w:id="140"/>
    <w:bookmarkEnd w:id="141"/>
    <w:bookmarkEnd w:id="142"/>
    <w:bookmarkStart w:id="166" w:name="results"/>
    <w:p>
      <w:pPr>
        <w:pStyle w:val="Heading2"/>
      </w:pPr>
      <w:r>
        <w:t xml:space="preserve">Results</w:t>
      </w:r>
    </w:p>
    <w:bookmarkStart w:id="143" w:name="micro-ct-imaging-data"/>
    <w:p>
      <w:pPr>
        <w:pStyle w:val="Heading3"/>
      </w:pPr>
      <w:r>
        <w:t xml:space="preserve">Micro-CT Imaging Data</w:t>
      </w:r>
    </w:p>
    <w:p>
      <w:pPr>
        <w:pStyle w:val="FirstParagraph"/>
      </w:pPr>
      <w:r>
        <w:t xml:space="preserve">The acquisition and reconstruction of fish datasets were successful and enabled high-throughput processing.</w:t>
      </w:r>
      <w:r>
        <w:t xml:space="preserve"> </w:t>
      </w:r>
      <w:r>
        <w:t xml:space="preserve">A total of 215 unique specimens were scanned in 38 different scans with a total scan duration of nearly 16 days (spread over 209 calendar days).</w:t>
      </w:r>
      <w:r>
        <w:t xml:space="preserve"> </w:t>
      </w:r>
      <w:r>
        <w:t xml:space="preserve">We acquired 403312 projections, reconstructed into a total of 154645 slices, resulting in approximately 4000 reconstruction</w:t>
      </w:r>
      <w:r>
        <w:t xml:space="preserve"> </w:t>
      </w:r>
      <w:r>
        <w:rPr>
          <w:rStyle w:val="VerbatimChar"/>
        </w:rPr>
        <w:t xml:space="preserve">png</w:t>
      </w:r>
      <w:r>
        <w:t xml:space="preserve"> </w:t>
      </w:r>
      <w:r>
        <w:t xml:space="preserve">files per scan (</w:t>
      </w:r>
      <w:r>
        <w:rPr>
          <w:iCs/>
          <w:i/>
        </w:rPr>
        <w:t xml:space="preserve">N</w:t>
      </w:r>
      <w:r>
        <w:t xml:space="preserve"> </w:t>
      </w:r>
      <w:r>
        <w:t xml:space="preserve">= 38), covering (on average) a length parallel to the fish of 65 mm.</w:t>
      </w:r>
    </w:p>
    <w:bookmarkEnd w:id="143"/>
    <w:bookmarkStart w:id="147" w:name="fish-separation"/>
    <w:p>
      <w:pPr>
        <w:pStyle w:val="Heading3"/>
      </w:pPr>
      <w:r>
        <w:t xml:space="preserve">Fish Separation</w:t>
      </w:r>
    </w:p>
    <w:p>
      <w:pPr>
        <w:pStyle w:val="FirstParagraph"/>
      </w:pPr>
      <w:r>
        <w:t xml:space="preserve">Our method reproducibly extracts each of the six fish scanned simultaneously in one scan.</w:t>
      </w:r>
      <w:r>
        <w:t xml:space="preserve"> </w:t>
      </w:r>
      <w:r>
        <w:t xml:space="preserve">The custom-made sample holder aligns each fish along the vertical axis around the rotation axis of the tomographic scan.</w:t>
      </w:r>
      <w:r>
        <w:t xml:space="preserve"> </w:t>
      </w:r>
      <w:r>
        <w:t xml:space="preserve">The extraction based on the MIP image along the rotation axis is deterministic and reproducible.</w:t>
      </w:r>
      <w:r>
        <w:t xml:space="preserve"> </w:t>
      </w:r>
      <w:r>
        <w:t xml:space="preserve">The assignment of detected regions to compartments is computed from their position around the rotation axis, and the only manual input is the mapping of compartment number to fish ID from the lab book.</w:t>
      </w:r>
    </w:p>
    <w:p>
      <w:pPr>
        <w:pStyle w:val="BodyText"/>
      </w:pPr>
      <w:r>
        <w:t xml:space="preserve">The resulting image stack, containing six fish in one multi-specimen scan, creates a large output dataset that can be unwieldy to manage even for experienced users.</w:t>
      </w:r>
      <w:r>
        <w:t xml:space="preserve"> </w:t>
      </w:r>
      <w:r>
        <w:t xml:space="preserve">Depending on the available hardware, it may not even be possible to load the resulting image stack into image processing software to manually perform the cropping.</w:t>
      </w:r>
      <w:r>
        <w:t xml:space="preserve"> </w:t>
      </w:r>
      <w:r>
        <w:t xml:space="preserve">The reconstructions of one exemplary dataset (</w:t>
      </w:r>
      <w:r>
        <w:rPr>
          <w:rStyle w:val="VerbatimChar"/>
        </w:rPr>
        <w:t xml:space="preserve">Sticklebucket_H</w:t>
      </w:r>
      <w:r>
        <w:t xml:space="preserve">) are stored as losslessly compressed 8-bit PNG files and take up 8.5 GB on disk, but require 42.8 GB of memory when fully loaded in Fiji</w:t>
      </w:r>
      <w:r>
        <w:t xml:space="preserve"> </w:t>
      </w:r>
      <w:r>
        <w:t xml:space="preserve">(</w:t>
      </w:r>
      <w:hyperlink w:anchor="ref-Fkmz2cmo">
        <w:r>
          <w:rPr>
            <w:rStyle w:val="Hyperlink"/>
          </w:rPr>
          <w:t xml:space="preserve">Schindelin et al., 2012</w:t>
        </w:r>
      </w:hyperlink>
      <w:r>
        <w:t xml:space="preserve">)</w:t>
      </w:r>
      <w:r>
        <w:t xml:space="preserve"> </w:t>
      </w:r>
      <w:r>
        <w:t xml:space="preserve">(3064 × 3064 pixels × 4891 slices).</w:t>
      </w:r>
      <w:r>
        <w:t xml:space="preserve"> </w:t>
      </w:r>
      <w:r>
        <w:t xml:space="preserve">Large stacks can be loaded as</w:t>
      </w:r>
      <w:r>
        <w:t xml:space="preserve"> </w:t>
      </w:r>
      <w:hyperlink r:id="rId144">
        <w:r>
          <w:rPr>
            <w:rStyle w:val="Hyperlink"/>
          </w:rPr>
          <w:t xml:space="preserve">virtual stacks</w:t>
        </w:r>
      </w:hyperlink>
      <w:r>
        <w:t xml:space="preserve"> </w:t>
      </w:r>
      <w:r>
        <w:t xml:space="preserve">and cropped in XY with low memory requirements, either manually or with a macro implementing steps similar to our pipeline.</w:t>
      </w:r>
      <w:r>
        <w:t xml:space="preserve"> </w:t>
      </w:r>
      <w:r>
        <w:t xml:space="preserve">Done manually, this would need to be repeated six times per scan, followed by assigning each cropped stack to its fish ID in an error-prone manual way.</w:t>
      </w:r>
    </w:p>
    <w:p>
      <w:pPr>
        <w:pStyle w:val="BodyText"/>
      </w:pPr>
      <w:r>
        <w:t xml:space="preserve">In addition, such a manual process is not reproducible in the sense that it cannot be consistently replicated by others using the same data, since the manual cropping is operator-dependent.</w:t>
      </w:r>
      <w:r>
        <w:t xml:space="preserve"> </w:t>
      </w:r>
      <w:r>
        <w:t xml:space="preserve">Algorithmically/automatically cropping the large datasets based on the axial MIP image yields reproducible cropped regions and uses operator time efficiently by eliminating manual cropping steps (see Table</w:t>
      </w:r>
      <w:r>
        <w:t xml:space="preserve"> </w:t>
      </w:r>
      <w:hyperlink w:anchor="tbl:timing">
        <w:r>
          <w:rPr>
            <w:rStyle w:val="Hyperlink"/>
          </w:rPr>
          <w:t xml:space="preserve">1</w:t>
        </w:r>
      </w:hyperlink>
      <w:r>
        <w:t xml:space="preserve">).</w:t>
      </w:r>
    </w:p>
    <w:bookmarkStart w:id="0" w:name="tbl:timing"/>
    <w:bookmarkStart w:id="145" w:name="tbl:timing"/>
    <w:p>
      <w:pPr>
        <w:pStyle w:val="TableCaption"/>
      </w:pPr>
      <w:r>
        <w:t xml:space="preserve">Table 1: Comparison of time estimates between manual and pipeline runs.</w:t>
      </w:r>
      <w:r>
        <w:t xml:space="preserve"> </w:t>
      </w:r>
      <w:r>
        <w:t xml:space="preserve">Note that it would have been infeasible to scan each fish separately.</w:t>
      </w:r>
      <w:r>
        <w:t xml:space="preserve"> </w:t>
      </w:r>
      <w:r>
        <w:t xml:space="preserve">On average, we scanned 5.66 fish per scan for a total scan time of 15 days, 23 hours, 50 minutes, and 24 seconds.</w:t>
      </w:r>
      <w:r>
        <w:t xml:space="preserve"> </w:t>
      </w:r>
      <w:r>
        <w:t xml:space="preserve">The manual scan time per single fish is thus calculated to be five times longer than scanning six fish at a time in a single scan and separating them after the fact.</w:t>
      </w:r>
      <w:r>
        <w:t xml:space="preserve"> </w:t>
      </w:r>
      <w:r>
        <w:t xml:space="preserve">Also note that the manual splitting does</w:t>
      </w:r>
      <w:r>
        <w:t xml:space="preserve"> </w:t>
      </w:r>
      <w:r>
        <w:rPr>
          <w:iCs/>
          <w:i/>
        </w:rPr>
        <w:t xml:space="preserve">not</w:t>
      </w:r>
      <w:r>
        <w:t xml:space="preserve"> </w:t>
      </w:r>
      <w:r>
        <w:t xml:space="preserve">produce the accompanying log file and figures for double-checking as specified below.</w:t>
      </w:r>
      <w:r>
        <w:t xml:space="preserve"> </w:t>
      </w:r>
    </w:p>
    <w:tbl>
      <w:tblPr>
        <w:tblStyle w:val="Table"/>
        <w:tblW w:type="pct" w:w="5000"/>
        <w:tblLook w:firstRow="1" w:lastRow="0" w:firstColumn="0" w:lastColumn="0" w:noHBand="0" w:noVBand="0" w:val="0020"/>
        <w:tblCaption w:val="Table 1: Comparison of time estimates between manual and pipeline runs. Note that it would have been infeasible to scan each fish separately. On average, we scanned 5.66 fish per scan for a total scan time of 15 days, 23 hours, 50 minutes, and 24 seconds. The manual scan time per single fish is thus calculated to be five times longer than scanning six fish at a time in a single scan and separating them after the fact. Also note that the manual splitting does not produce the accompanying log file and figures for double-checking as specified below. "/>
      </w:tblPr>
      <w:tblGrid>
        <w:gridCol w:w="3366"/>
        <w:gridCol w:w="1584"/>
        <w:gridCol w:w="1980"/>
        <w:gridCol w:w="990"/>
      </w:tblGrid>
      <w:tr>
        <w:trPr>
          <w:tblHeader w:val="true"/>
        </w:trPr>
        <w:tc>
          <w:tcPr/>
          <w:p>
            <w:pPr>
              <w:pStyle w:val="Compact"/>
              <w:jc w:val="left"/>
            </w:pPr>
            <w:r>
              <w:t xml:space="preserve">Task</w:t>
            </w:r>
          </w:p>
        </w:tc>
        <w:tc>
          <w:tcPr/>
          <w:p>
            <w:pPr>
              <w:pStyle w:val="Compact"/>
              <w:jc w:val="right"/>
            </w:pPr>
            <w:r>
              <w:t xml:space="preserve">Manual Time</w:t>
            </w:r>
          </w:p>
        </w:tc>
        <w:tc>
          <w:tcPr/>
          <w:p>
            <w:pPr>
              <w:pStyle w:val="Compact"/>
              <w:jc w:val="right"/>
            </w:pPr>
            <w:r>
              <w:t xml:space="preserve">Our Pipeline Time</w:t>
            </w:r>
          </w:p>
        </w:tc>
        <w:tc>
          <w:tcPr/>
          <w:p>
            <w:pPr>
              <w:pStyle w:val="Compact"/>
              <w:jc w:val="right"/>
            </w:pPr>
            <w:r>
              <w:t xml:space="preserve">Speed-up</w:t>
            </w:r>
          </w:p>
        </w:tc>
      </w:tr>
      <w:tr>
        <w:tc>
          <w:tcPr/>
          <w:p>
            <w:pPr>
              <w:pStyle w:val="Compact"/>
              <w:jc w:val="left"/>
            </w:pPr>
            <w:r>
              <w:t xml:space="preserve">Scanning single fish</w:t>
            </w:r>
          </w:p>
        </w:tc>
        <w:tc>
          <w:tcPr/>
          <w:p>
            <w:pPr>
              <w:pStyle w:val="Compact"/>
              <w:jc w:val="right"/>
            </w:pPr>
            <w:r>
              <w:t xml:space="preserve">~10 hours</w:t>
            </w:r>
          </w:p>
        </w:tc>
        <w:tc>
          <w:tcPr/>
          <w:p>
            <w:pPr>
              <w:pStyle w:val="Compact"/>
              <w:jc w:val="right"/>
            </w:pPr>
            <w:r>
              <w:t xml:space="preserve">1 hour, 45 minutes</w:t>
            </w:r>
          </w:p>
        </w:tc>
        <w:tc>
          <w:tcPr/>
          <w:p>
            <w:pPr>
              <w:pStyle w:val="Compact"/>
              <w:jc w:val="right"/>
            </w:pPr>
            <w:r>
              <w:t xml:space="preserve">~5.5 x</w:t>
            </w:r>
          </w:p>
        </w:tc>
      </w:tr>
      <w:tr>
        <w:tc>
          <w:tcPr/>
          <w:p>
            <w:pPr>
              <w:pStyle w:val="Compact"/>
              <w:jc w:val="left"/>
            </w:pPr>
            <w:r>
              <w:t xml:space="preserve">Splitting scans into single fish</w:t>
            </w:r>
          </w:p>
        </w:tc>
        <w:tc>
          <w:tcPr/>
          <w:p>
            <w:pPr>
              <w:pStyle w:val="Compact"/>
              <w:jc w:val="right"/>
            </w:pPr>
            <w:r>
              <w:t xml:space="preserve">17 minutes</w:t>
            </w:r>
          </w:p>
        </w:tc>
        <w:tc>
          <w:tcPr/>
          <w:p>
            <w:pPr>
              <w:pStyle w:val="Compact"/>
              <w:jc w:val="right"/>
            </w:pPr>
            <w:r>
              <w:t xml:space="preserve">9 minutes</w:t>
            </w:r>
          </w:p>
        </w:tc>
        <w:tc>
          <w:tcPr/>
          <w:p>
            <w:pPr>
              <w:pStyle w:val="Compact"/>
              <w:jc w:val="right"/>
            </w:pPr>
            <w:r>
              <w:t xml:space="preserve">~2 x</w:t>
            </w:r>
          </w:p>
        </w:tc>
      </w:tr>
      <w:tr>
        <w:tc>
          <w:tcPr/>
          <w:p>
            <w:pPr>
              <w:pStyle w:val="Compact"/>
              <w:jc w:val="left"/>
            </w:pPr>
            <w:r>
              <w:t xml:space="preserve">Rendering volumes</w:t>
            </w:r>
          </w:p>
        </w:tc>
        <w:tc>
          <w:tcPr/>
          <w:p>
            <w:pPr>
              <w:pStyle w:val="Compact"/>
              <w:jc w:val="right"/>
            </w:pPr>
            <w:r>
              <w:t xml:space="preserve">5 minutes</w:t>
            </w:r>
          </w:p>
        </w:tc>
        <w:tc>
          <w:tcPr/>
          <w:p>
            <w:pPr>
              <w:pStyle w:val="Compact"/>
              <w:jc w:val="right"/>
            </w:pPr>
            <w:r>
              <w:t xml:space="preserve">15 seconds</w:t>
            </w:r>
          </w:p>
        </w:tc>
        <w:tc>
          <w:tcPr/>
          <w:p>
            <w:pPr>
              <w:pStyle w:val="Compact"/>
              <w:jc w:val="right"/>
            </w:pPr>
            <w:r>
              <w:t xml:space="preserve">20 x</w:t>
            </w:r>
          </w:p>
        </w:tc>
      </w:tr>
      <w:tr>
        <w:tc>
          <w:tcPr/>
          <w:p>
            <w:pPr>
              <w:pStyle w:val="Compact"/>
              <w:jc w:val="left"/>
            </w:pPr>
            <w:r>
              <w:t xml:space="preserve">Segmentation</w:t>
            </w:r>
          </w:p>
        </w:tc>
        <w:tc>
          <w:tcPr/>
          <w:p>
            <w:pPr>
              <w:pStyle w:val="Compact"/>
              <w:jc w:val="right"/>
            </w:pPr>
            <w:r>
              <w:t xml:space="preserve">10–15 minutes</w:t>
            </w:r>
          </w:p>
        </w:tc>
        <w:tc>
          <w:tcPr/>
          <w:p>
            <w:pPr>
              <w:pStyle w:val="Compact"/>
              <w:jc w:val="right"/>
            </w:pPr>
            <w:r>
              <w:t xml:space="preserve">15 seconds</w:t>
            </w:r>
          </w:p>
        </w:tc>
        <w:tc>
          <w:tcPr/>
          <w:p>
            <w:pPr>
              <w:pStyle w:val="Compact"/>
              <w:jc w:val="right"/>
            </w:pPr>
            <w:r>
              <w:t xml:space="preserve">~60 x</w:t>
            </w:r>
          </w:p>
        </w:tc>
      </w:tr>
    </w:tbl>
    <w:bookmarkEnd w:id="145"/>
    <w:bookmarkEnd w:id="0"/>
    <w:p>
      <w:pPr>
        <w:pStyle w:val="BodyText"/>
      </w:pPr>
      <w:r>
        <w:t xml:space="preserve">Note that the automated extraction writes intermediate files, which facilitate the handling of the data (this step takes about 3 minutes per scan).</w:t>
      </w:r>
      <w:r>
        <w:t xml:space="preserve"> </w:t>
      </w:r>
      <w:r>
        <w:t xml:space="preserve">These files are technically not necessary for the process, but we still took into account the time spent to write them.</w:t>
      </w:r>
      <w:r>
        <w:t xml:space="preserve"> </w:t>
      </w:r>
      <w:r>
        <w:t xml:space="preserve">In addition, human-readable log files documenting the cropping position in the encompassing dataset and the crop extent, as well as images for double-checking the process, are written to disk, which the manual process does not provide reproducibly.</w:t>
      </w:r>
      <w:r>
        <w:t xml:space="preserve"> </w:t>
      </w:r>
      <w:r>
        <w:t xml:space="preserve">This enables reproducible double-checking and confirmation of the process after the fact (see this</w:t>
      </w:r>
      <w:r>
        <w:t xml:space="preserve"> </w:t>
      </w:r>
      <w:hyperlink r:id="rId113">
        <w:r>
          <w:rPr>
            <w:rStyle w:val="Hyperlink"/>
          </w:rPr>
          <w:t xml:space="preserve">direct link for one such log file</w:t>
        </w:r>
      </w:hyperlink>
      <w:r>
        <w:t xml:space="preserve"> </w:t>
      </w:r>
      <w:r>
        <w:t xml:space="preserve">and</w:t>
      </w:r>
      <w:r>
        <w:t xml:space="preserve"> </w:t>
      </w:r>
      <w:hyperlink r:id="rId146">
        <w:r>
          <w:rPr>
            <w:rStyle w:val="Hyperlink"/>
          </w:rPr>
          <w:t xml:space="preserve">one such image</w:t>
        </w:r>
      </w:hyperlink>
      <w:r>
        <w:t xml:space="preserve">).</w:t>
      </w:r>
    </w:p>
    <w:p>
      <w:pPr>
        <w:pStyle w:val="BodyText"/>
      </w:pPr>
      <w:r>
        <w:t xml:space="preserve">The automated extraction produced 215</w:t>
      </w:r>
      <w:r>
        <w:t xml:space="preserve"> </w:t>
      </w:r>
      <w:r>
        <w:rPr>
          <w:rStyle w:val="VerbatimChar"/>
        </w:rPr>
        <w:t xml:space="preserve">nrrd</w:t>
      </w:r>
      <w:r>
        <w:t xml:space="preserve"> </w:t>
      </w:r>
      <w:r>
        <w:t xml:space="preserve">files with a total size of 385 GB (median 1.65 GB).</w:t>
      </w:r>
      <w:r>
        <w:t xml:space="preserve"> </w:t>
      </w:r>
      <w:r>
        <w:t xml:space="preserve">The exported regions varied in physical size, resulting in datasets with a median anteroposterior length of 4250 px and median x- and y- dimensions of 650 px (due to the rotation of the fish, the x- and y- dimensions do not map to anatomical directions).</w:t>
      </w:r>
      <w:r>
        <w:t xml:space="preserve"> </w:t>
      </w:r>
      <w:r>
        <w:t xml:space="preserve">These cropped regions include the region of the originally acquired data where the 3D-printed label is visible, aiding in end-to-end reproducibility of the extraction process.</w:t>
      </w:r>
    </w:p>
    <w:p>
      <w:pPr>
        <w:pStyle w:val="BodyText"/>
      </w:pPr>
      <w:r>
        <w:t xml:space="preserve">We have uploaded further cropped datasets of each analyzed fish to MorphoSource (see</w:t>
      </w:r>
      <w:r>
        <w:t xml:space="preserve"> </w:t>
      </w:r>
      <w:hyperlink w:anchor="supplementary-materials">
        <w:r>
          <w:rPr>
            <w:rStyle w:val="Hyperlink"/>
          </w:rPr>
          <w:t xml:space="preserve">Supplementary Materials</w:t>
        </w:r>
      </w:hyperlink>
      <w:r>
        <w:t xml:space="preserve">).</w:t>
      </w:r>
      <w:r>
        <w:t xml:space="preserve"> </w:t>
      </w:r>
      <w:r>
        <w:t xml:space="preserve">These further cropped datasets include only the region of the fish in anteroposterior direction, drop the 3D-printed label region and have a median size of approximately 3000 pixels, the x- and y-directions are the same as for the previously mentioned datasets.</w:t>
      </w:r>
    </w:p>
    <w:bookmarkEnd w:id="147"/>
    <w:bookmarkStart w:id="148" w:name="thresholding"/>
    <w:p>
      <w:pPr>
        <w:pStyle w:val="Heading3"/>
      </w:pPr>
      <w:r>
        <w:t xml:space="preserve">Thresholding</w:t>
      </w:r>
    </w:p>
    <w:p>
      <w:pPr>
        <w:pStyle w:val="FirstParagraph"/>
      </w:pPr>
      <w:r>
        <w:t xml:space="preserve">The separated fish were segmented based on a simple multi-Otsu thresholding algorithm.</w:t>
      </w:r>
      <w:r>
        <w:t xml:space="preserve"> </w:t>
      </w:r>
      <w:r>
        <w:t xml:space="preserve">This simple segmentation was sufficient to extract all of the features we analyzed further, and we did not have to employ more advanced thresholding methods in our separation pipeline.</w:t>
      </w:r>
      <w:r>
        <w:t xml:space="preserve"> </w:t>
      </w:r>
      <w:r>
        <w:t xml:space="preserve">Selection and individual rendering of branchial structures takes between 10 and 15 minutes; the segmentation of an average Biomedisa render takes 15 seconds once trained (see Table</w:t>
      </w:r>
      <w:r>
        <w:t xml:space="preserve"> </w:t>
      </w:r>
      <w:hyperlink w:anchor="tbl:timing">
        <w:r>
          <w:rPr>
            <w:rStyle w:val="Hyperlink"/>
          </w:rPr>
          <w:t xml:space="preserve">1</w:t>
        </w:r>
      </w:hyperlink>
      <w:r>
        <w:t xml:space="preserve">).</w:t>
      </w:r>
    </w:p>
    <w:bookmarkEnd w:id="148"/>
    <w:bookmarkStart w:id="165" w:name="analysis"/>
    <w:p>
      <w:pPr>
        <w:pStyle w:val="Heading3"/>
      </w:pPr>
      <w:r>
        <w:t xml:space="preserve">Analysis</w:t>
      </w:r>
    </w:p>
    <w:p>
      <w:pPr>
        <w:pStyle w:val="FirstParagraph"/>
      </w:pPr>
      <w:r>
        <w:t xml:space="preserve">The speed and quality of these data allow us to study the internal branchial anatomy on a large scale and in situ, without the need for fine dissection.</w:t>
      </w:r>
    </w:p>
    <w:p>
      <w:pPr>
        <w:pStyle w:val="BodyText"/>
      </w:pPr>
      <w:r>
        <w:t xml:space="preserve">After GPA alignment, we quantified the shape differences among all scanned fish for this project.</w:t>
      </w:r>
      <w:r>
        <w:t xml:space="preserve"> </w:t>
      </w:r>
      <w:r>
        <w:t xml:space="preserve">Changes due to allometry (using centroid size or standard length as the size metric) were significant but slight, explaining only a small fraction of shape variation (CB1:</w:t>
      </w:r>
      <w:r>
        <w:t xml:space="preserve"> </w:t>
      </w:r>
      <w:r>
        <w:rPr>
          <w:iCs/>
          <w:i/>
        </w:rPr>
        <w:t xml:space="preserve">p</w:t>
      </w:r>
      <w:r>
        <w:t xml:space="preserve"> </w:t>
      </w:r>
      <w:r>
        <w:t xml:space="preserve">= 0.001,</w:t>
      </w:r>
      <w:r>
        <w:t xml:space="preserve"> </w:t>
      </w:r>
      <m:oMath>
        <m:sSup>
          <m:e>
            <m:r>
              <m:t>R</m:t>
            </m:r>
          </m:e>
          <m:sup>
            <m:r>
              <m:t>2</m:t>
            </m:r>
          </m:sup>
        </m:sSup>
      </m:oMath>
      <w:r>
        <w:t xml:space="preserve"> </w:t>
      </w:r>
      <w:r>
        <w:t xml:space="preserve">= 0.03246; CB2:</w:t>
      </w:r>
      <w:r>
        <w:t xml:space="preserve"> </w:t>
      </w:r>
      <w:r>
        <w:rPr>
          <w:iCs/>
          <w:i/>
        </w:rPr>
        <w:t xml:space="preserve">p</w:t>
      </w:r>
      <w:r>
        <w:t xml:space="preserve"> </w:t>
      </w:r>
      <w:r>
        <w:t xml:space="preserve">= 0.001,</w:t>
      </w:r>
      <w:r>
        <w:t xml:space="preserve"> </w:t>
      </w:r>
      <m:oMath>
        <m:sSup>
          <m:e>
            <m:r>
              <m:t>R</m:t>
            </m:r>
          </m:e>
          <m:sup>
            <m:r>
              <m:t>2</m:t>
            </m:r>
          </m:sup>
        </m:sSup>
      </m:oMath>
      <w:r>
        <w:t xml:space="preserve"> </w:t>
      </w:r>
      <w:r>
        <w:t xml:space="preserve">= 0.06220) in both bones.</w:t>
      </w:r>
      <w:r>
        <w:t xml:space="preserve"> </w:t>
      </w:r>
      <w:r>
        <w:t xml:space="preserve">Both linear models and PCA results suggest that the lakes themselves—and not overarching categories of ecotype or sex—drive most of the shape variation in these bones (CB1:</w:t>
      </w:r>
      <w:r>
        <w:t xml:space="preserve"> </w:t>
      </w:r>
      <w:r>
        <w:rPr>
          <w:iCs/>
          <w:i/>
        </w:rPr>
        <w:t xml:space="preserve">p</w:t>
      </w:r>
      <w:r>
        <w:t xml:space="preserve"> </w:t>
      </w:r>
      <w:r>
        <w:t xml:space="preserve">= 0.001,</w:t>
      </w:r>
      <w:r>
        <w:t xml:space="preserve"> </w:t>
      </w:r>
      <m:oMath>
        <m:sSup>
          <m:e>
            <m:r>
              <m:t>R</m:t>
            </m:r>
          </m:e>
          <m:sup>
            <m:r>
              <m:t>2</m:t>
            </m:r>
          </m:sup>
        </m:sSup>
      </m:oMath>
      <w:r>
        <w:t xml:space="preserve"> </w:t>
      </w:r>
      <w:r>
        <w:t xml:space="preserve">= 0.09463; CB2:</w:t>
      </w:r>
      <w:r>
        <w:t xml:space="preserve"> </w:t>
      </w:r>
      <w:r>
        <w:rPr>
          <w:iCs/>
          <w:i/>
        </w:rPr>
        <w:t xml:space="preserve">p</w:t>
      </w:r>
      <w:r>
        <w:t xml:space="preserve"> </w:t>
      </w:r>
      <w:r>
        <w:t xml:space="preserve">= 0.001,</w:t>
      </w:r>
      <w:r>
        <w:t xml:space="preserve"> </w:t>
      </w:r>
      <m:oMath>
        <m:sSup>
          <m:e>
            <m:r>
              <m:t>R</m:t>
            </m:r>
          </m:e>
          <m:sup>
            <m:r>
              <m:t>2</m:t>
            </m:r>
          </m:sup>
        </m:sSup>
      </m:oMath>
      <w:r>
        <w:t xml:space="preserve"> </w:t>
      </w:r>
      <w:r>
        <w:t xml:space="preserve">= 0.11039).</w:t>
      </w:r>
      <w:r>
        <w:t xml:space="preserve"> </w:t>
      </w:r>
      <w:r>
        <w:t xml:space="preserve">However, the variation in the first ceratobranchial was significantly associated with different ecotypes, although the effect size was small (</w:t>
      </w:r>
      <w:r>
        <w:rPr>
          <w:iCs/>
          <w:i/>
        </w:rPr>
        <w:t xml:space="preserve">p</w:t>
      </w:r>
      <w:r>
        <w:t xml:space="preserve"> </w:t>
      </w:r>
      <w:r>
        <w:t xml:space="preserve">= 0.009,</w:t>
      </w:r>
      <w:r>
        <w:t xml:space="preserve"> </w:t>
      </w:r>
      <m:oMath>
        <m:sSup>
          <m:e>
            <m:r>
              <m:t>R</m:t>
            </m:r>
          </m:e>
          <m:sup>
            <m:r>
              <m:t>2</m:t>
            </m:r>
          </m:sup>
        </m:sSup>
      </m:oMath>
      <w:r>
        <w:t xml:space="preserve"> </w:t>
      </w:r>
      <w:r>
        <w:t xml:space="preserve">= 0.02056), with substantial overlap in the resulting shape space (see Figure</w:t>
      </w:r>
      <w:r>
        <w:t xml:space="preserve"> </w:t>
      </w:r>
      <w:hyperlink w:anchor="fig:pca_cb1">
        <w:r>
          <w:rPr>
            <w:rStyle w:val="Hyperlink"/>
          </w:rPr>
          <w:t xml:space="preserve">10</w:t>
        </w:r>
      </w:hyperlink>
      <w:r>
        <w:t xml:space="preserve">).</w:t>
      </w:r>
    </w:p>
    <w:bookmarkStart w:id="0" w:name="fig:pca_cb1"/>
    <w:p>
      <w:pPr>
        <w:pStyle w:val="CaptionedFigure"/>
      </w:pPr>
      <w:bookmarkStart w:id="152" w:name="fig:pca_cb1"/>
      <w:r>
        <w:drawing>
          <wp:inline>
            <wp:extent cx="5943600" cy="4143835"/>
            <wp:effectExtent b="0" l="0" r="0" t="0"/>
            <wp:docPr descr="Figure 10: PCA of CB1 colored by lake ecotype. Warps are indicated at the extremes of each axis by vectors drawn from a mean shape (red)." title="" id="150" name="Picture"/>
            <a:graphic>
              <a:graphicData uri="http://schemas.openxmlformats.org/drawingml/2006/picture">
                <pic:pic>
                  <pic:nvPicPr>
                    <pic:cNvPr descr="images/PCA_CB1_Plot.png" id="151" name="Picture"/>
                    <pic:cNvPicPr>
                      <a:picLocks noChangeArrowheads="1" noChangeAspect="1"/>
                    </pic:cNvPicPr>
                  </pic:nvPicPr>
                  <pic:blipFill>
                    <a:blip r:embed="rId149"/>
                    <a:stretch>
                      <a:fillRect/>
                    </a:stretch>
                  </pic:blipFill>
                  <pic:spPr bwMode="auto">
                    <a:xfrm>
                      <a:off x="0" y="0"/>
                      <a:ext cx="5943600" cy="4143835"/>
                    </a:xfrm>
                    <a:prstGeom prst="rect">
                      <a:avLst/>
                    </a:prstGeom>
                    <a:noFill/>
                    <a:ln w="9525">
                      <a:noFill/>
                      <a:headEnd/>
                      <a:tailEnd/>
                    </a:ln>
                  </pic:spPr>
                </pic:pic>
              </a:graphicData>
            </a:graphic>
          </wp:inline>
        </w:drawing>
      </w:r>
      <w:bookmarkEnd w:id="152"/>
    </w:p>
    <w:p>
      <w:pPr>
        <w:pStyle w:val="ImageCaption"/>
      </w:pPr>
      <w:r>
        <w:t xml:space="preserve">Figure 10: PCA of CB1 colored by lake ecotype.</w:t>
      </w:r>
      <w:r>
        <w:t xml:space="preserve"> </w:t>
      </w:r>
      <w:r>
        <w:t xml:space="preserve">Warps are indicated at the extremes of each axis by vectors drawn from a mean shape (red).</w:t>
      </w:r>
    </w:p>
    <w:bookmarkEnd w:id="0"/>
    <w:p>
      <w:pPr>
        <w:pStyle w:val="BodyText"/>
      </w:pPr>
      <w:r>
        <w:t xml:space="preserve">On the other hand, the second ceratobranchial bone showed equally small but significant changes associated with the ecotype (</w:t>
      </w:r>
      <w:r>
        <w:rPr>
          <w:iCs/>
          <w:i/>
        </w:rPr>
        <w:t xml:space="preserve">p</w:t>
      </w:r>
      <w:r>
        <w:t xml:space="preserve"> </w:t>
      </w:r>
      <w:r>
        <w:t xml:space="preserve">= 0.001,</w:t>
      </w:r>
      <w:r>
        <w:t xml:space="preserve"> </w:t>
      </w:r>
      <m:oMath>
        <m:sSup>
          <m:e>
            <m:r>
              <m:t>R</m:t>
            </m:r>
          </m:e>
          <m:sup>
            <m:r>
              <m:t>2</m:t>
            </m:r>
          </m:sup>
        </m:sSup>
      </m:oMath>
      <w:r>
        <w:t xml:space="preserve"> </w:t>
      </w:r>
      <w:r>
        <w:t xml:space="preserve">= 0.0377).</w:t>
      </w:r>
      <w:r>
        <w:t xml:space="preserve"> </w:t>
      </w:r>
      <w:r>
        <w:t xml:space="preserve">The differences between benthic and limnetic specimens are, for this bone, clearly divergent in shape space (see Figure</w:t>
      </w:r>
      <w:r>
        <w:t xml:space="preserve"> </w:t>
      </w:r>
      <w:hyperlink w:anchor="fig:pca_cb2">
        <w:r>
          <w:rPr>
            <w:rStyle w:val="Hyperlink"/>
          </w:rPr>
          <w:t xml:space="preserve">11</w:t>
        </w:r>
      </w:hyperlink>
      <w:r>
        <w:t xml:space="preserve">).</w:t>
      </w:r>
    </w:p>
    <w:bookmarkStart w:id="0" w:name="fig:pca_cb2"/>
    <w:p>
      <w:pPr>
        <w:pStyle w:val="CaptionedFigure"/>
      </w:pPr>
      <w:bookmarkStart w:id="156" w:name="fig:pca_cb2"/>
      <w:r>
        <w:drawing>
          <wp:inline>
            <wp:extent cx="5943600" cy="4139930"/>
            <wp:effectExtent b="0" l="0" r="0" t="0"/>
            <wp:docPr descr="Figure 11: PCA of CB2 colored by lake ecotype. Warps are indicated at the extremes of each axis by vectors drawn from a mean shape (red)." title="" id="154" name="Picture"/>
            <a:graphic>
              <a:graphicData uri="http://schemas.openxmlformats.org/drawingml/2006/picture">
                <pic:pic>
                  <pic:nvPicPr>
                    <pic:cNvPr descr="images/PCA_CB2_Plot.png" id="155" name="Picture"/>
                    <pic:cNvPicPr>
                      <a:picLocks noChangeArrowheads="1" noChangeAspect="1"/>
                    </pic:cNvPicPr>
                  </pic:nvPicPr>
                  <pic:blipFill>
                    <a:blip r:embed="rId153"/>
                    <a:stretch>
                      <a:fillRect/>
                    </a:stretch>
                  </pic:blipFill>
                  <pic:spPr bwMode="auto">
                    <a:xfrm>
                      <a:off x="0" y="0"/>
                      <a:ext cx="5943600" cy="4139930"/>
                    </a:xfrm>
                    <a:prstGeom prst="rect">
                      <a:avLst/>
                    </a:prstGeom>
                    <a:noFill/>
                    <a:ln w="9525">
                      <a:noFill/>
                      <a:headEnd/>
                      <a:tailEnd/>
                    </a:ln>
                  </pic:spPr>
                </pic:pic>
              </a:graphicData>
            </a:graphic>
          </wp:inline>
        </w:drawing>
      </w:r>
      <w:bookmarkEnd w:id="156"/>
    </w:p>
    <w:p>
      <w:pPr>
        <w:pStyle w:val="ImageCaption"/>
      </w:pPr>
      <w:r>
        <w:t xml:space="preserve">Figure 11: PCA of CB2 colored by lake ecotype.</w:t>
      </w:r>
      <w:r>
        <w:t xml:space="preserve"> </w:t>
      </w:r>
      <w:r>
        <w:t xml:space="preserve">Warps are indicated at the extremes of each axis by vectors drawn from a mean shape (red).</w:t>
      </w:r>
    </w:p>
    <w:bookmarkEnd w:id="0"/>
    <w:p>
      <w:pPr>
        <w:pStyle w:val="BodyText"/>
      </w:pPr>
      <w:r>
        <w:t xml:space="preserve">These ecological patterns were further examined at the level of individual lakes (see Figures</w:t>
      </w:r>
      <w:r>
        <w:t xml:space="preserve"> </w:t>
      </w:r>
      <w:hyperlink w:anchor="fig:pca_cb1_lake">
        <w:r>
          <w:rPr>
            <w:rStyle w:val="Hyperlink"/>
          </w:rPr>
          <w:t xml:space="preserve">12</w:t>
        </w:r>
      </w:hyperlink>
      <w:r>
        <w:t xml:space="preserve"> </w:t>
      </w:r>
      <w:r>
        <w:t xml:space="preserve">and</w:t>
      </w:r>
      <w:r>
        <w:t xml:space="preserve"> </w:t>
      </w:r>
      <w:hyperlink w:anchor="fig:pca_cb2_lake">
        <w:r>
          <w:rPr>
            <w:rStyle w:val="Hyperlink"/>
          </w:rPr>
          <w:t xml:space="preserve">13</w:t>
        </w:r>
      </w:hyperlink>
      <w:r>
        <w:t xml:space="preserve">).</w:t>
      </w:r>
    </w:p>
    <w:bookmarkStart w:id="0" w:name="fig:pca_cb1_lake"/>
    <w:p>
      <w:pPr>
        <w:pStyle w:val="CaptionedFigure"/>
      </w:pPr>
      <w:bookmarkStart w:id="160" w:name="fig:pca_cb1_lake"/>
      <w:r>
        <w:drawing>
          <wp:inline>
            <wp:extent cx="5943600" cy="4081846"/>
            <wp:effectExtent b="0" l="0" r="0" t="0"/>
            <wp:docPr descr="Figure 12: PCA of CB1 colored by individual lake. Benthic lakes are indicated in shades of red and orange, while the limnetic lakes are indicated in shades of blue. Warps are indicated at the extremes of each axis by vectors drawn from a mean shape (red)." title="" id="158" name="Picture"/>
            <a:graphic>
              <a:graphicData uri="http://schemas.openxmlformats.org/drawingml/2006/picture">
                <pic:pic>
                  <pic:nvPicPr>
                    <pic:cNvPr descr="images/PCA_CB1_Plot_Lake.png" id="159" name="Picture"/>
                    <pic:cNvPicPr>
                      <a:picLocks noChangeArrowheads="1" noChangeAspect="1"/>
                    </pic:cNvPicPr>
                  </pic:nvPicPr>
                  <pic:blipFill>
                    <a:blip r:embed="rId157"/>
                    <a:stretch>
                      <a:fillRect/>
                    </a:stretch>
                  </pic:blipFill>
                  <pic:spPr bwMode="auto">
                    <a:xfrm>
                      <a:off x="0" y="0"/>
                      <a:ext cx="5943600" cy="4081846"/>
                    </a:xfrm>
                    <a:prstGeom prst="rect">
                      <a:avLst/>
                    </a:prstGeom>
                    <a:noFill/>
                    <a:ln w="9525">
                      <a:noFill/>
                      <a:headEnd/>
                      <a:tailEnd/>
                    </a:ln>
                  </pic:spPr>
                </pic:pic>
              </a:graphicData>
            </a:graphic>
          </wp:inline>
        </w:drawing>
      </w:r>
      <w:bookmarkEnd w:id="160"/>
    </w:p>
    <w:p>
      <w:pPr>
        <w:pStyle w:val="ImageCaption"/>
      </w:pPr>
      <w:r>
        <w:t xml:space="preserve">Figure 12: PCA of CB1 colored by individual lake.</w:t>
      </w:r>
      <w:r>
        <w:t xml:space="preserve"> </w:t>
      </w:r>
      <w:r>
        <w:t xml:space="preserve">Benthic lakes are indicated in shades of red and orange, while the limnetic lakes are indicated in shades of blue.</w:t>
      </w:r>
      <w:r>
        <w:t xml:space="preserve"> </w:t>
      </w:r>
      <w:r>
        <w:t xml:space="preserve">Warps are indicated at the extremes of each axis by vectors drawn from a mean shape (red).</w:t>
      </w:r>
    </w:p>
    <w:bookmarkEnd w:id="0"/>
    <w:bookmarkStart w:id="0" w:name="fig:pca_cb2_lake"/>
    <w:p>
      <w:pPr>
        <w:pStyle w:val="CaptionedFigure"/>
      </w:pPr>
      <w:bookmarkStart w:id="164" w:name="fig:pca_cb2_lake"/>
      <w:r>
        <w:drawing>
          <wp:inline>
            <wp:extent cx="5943600" cy="4126587"/>
            <wp:effectExtent b="0" l="0" r="0" t="0"/>
            <wp:docPr descr="Figure 13: PCA of CB2 colored by individual lake. Benthic lakes are indicated in shades of red and orange, while the limnetic lakes are indicated in shades of blue. Warps are indicated at the extremes of each axis by vectors drawn from a mean shape (red)." title="" id="162" name="Picture"/>
            <a:graphic>
              <a:graphicData uri="http://schemas.openxmlformats.org/drawingml/2006/picture">
                <pic:pic>
                  <pic:nvPicPr>
                    <pic:cNvPr descr="images/PCA_CB2_Plot_Lake.png" id="163" name="Picture"/>
                    <pic:cNvPicPr>
                      <a:picLocks noChangeArrowheads="1" noChangeAspect="1"/>
                    </pic:cNvPicPr>
                  </pic:nvPicPr>
                  <pic:blipFill>
                    <a:blip r:embed="rId161"/>
                    <a:stretch>
                      <a:fillRect/>
                    </a:stretch>
                  </pic:blipFill>
                  <pic:spPr bwMode="auto">
                    <a:xfrm>
                      <a:off x="0" y="0"/>
                      <a:ext cx="5943600" cy="4126587"/>
                    </a:xfrm>
                    <a:prstGeom prst="rect">
                      <a:avLst/>
                    </a:prstGeom>
                    <a:noFill/>
                    <a:ln w="9525">
                      <a:noFill/>
                      <a:headEnd/>
                      <a:tailEnd/>
                    </a:ln>
                  </pic:spPr>
                </pic:pic>
              </a:graphicData>
            </a:graphic>
          </wp:inline>
        </w:drawing>
      </w:r>
      <w:bookmarkEnd w:id="164"/>
    </w:p>
    <w:p>
      <w:pPr>
        <w:pStyle w:val="ImageCaption"/>
      </w:pPr>
      <w:r>
        <w:t xml:space="preserve">Figure 13: PCA of CB2 colored by individual lake.</w:t>
      </w:r>
      <w:r>
        <w:t xml:space="preserve"> </w:t>
      </w:r>
      <w:r>
        <w:t xml:space="preserve">Benthic lakes are indicated in shades of red and orange, while the limnetic lakes are indicated in shades of blue.</w:t>
      </w:r>
      <w:r>
        <w:t xml:space="preserve"> </w:t>
      </w:r>
      <w:r>
        <w:t xml:space="preserve">Warps are indicated at the extremes of each axis by vectors drawn from a mean shape (red).</w:t>
      </w:r>
    </w:p>
    <w:bookmarkEnd w:id="0"/>
    <w:p>
      <w:pPr>
        <w:pStyle w:val="BodyText"/>
      </w:pPr>
      <w:r>
        <w:t xml:space="preserve">The differences in the second ceratobranchial appear to be driven by divergence in the South Rolly population, supported by significant pairwise differences between this lake and all other lakes in CB2 but not in CB1 (see</w:t>
      </w:r>
      <w:r>
        <w:t xml:space="preserve"> </w:t>
      </w:r>
      <w:hyperlink w:anchor="supplementary-materials">
        <w:r>
          <w:rPr>
            <w:rStyle w:val="Hyperlink"/>
          </w:rPr>
          <w:t xml:space="preserve">Supplementary Materials</w:t>
        </w:r>
      </w:hyperlink>
      <w:r>
        <w:t xml:space="preserve">).</w:t>
      </w:r>
    </w:p>
    <w:bookmarkEnd w:id="165"/>
    <w:bookmarkEnd w:id="166"/>
    <w:bookmarkStart w:id="170" w:name="discussion"/>
    <w:p>
      <w:pPr>
        <w:pStyle w:val="Heading2"/>
      </w:pPr>
      <w:r>
        <w:t xml:space="preserve">Discussion</w:t>
      </w:r>
    </w:p>
    <w:bookmarkStart w:id="167" w:name="pipeline-and-efficiency"/>
    <w:p>
      <w:pPr>
        <w:pStyle w:val="Heading3"/>
      </w:pPr>
      <w:r>
        <w:t xml:space="preserve">Pipeline and Efficiency</w:t>
      </w:r>
    </w:p>
    <w:p>
      <w:pPr>
        <w:pStyle w:val="FirstParagraph"/>
      </w:pPr>
      <w:r>
        <w:t xml:space="preserve">Once all components of the pipeline are combined, running a simple script enables automatic reconstruction, thresholding, and segmentation of stickleback specimens.</w:t>
      </w:r>
      <w:r>
        <w:t xml:space="preserve"> </w:t>
      </w:r>
      <w:r>
        <w:t xml:space="preserve">Requiring minimal active user input, all automated pipeline steps are substantially faster than equivalent manual processing by an expert operator.</w:t>
      </w:r>
      <w:r>
        <w:t xml:space="preserve"> </w:t>
      </w:r>
      <w:r>
        <w:t xml:space="preserve">This reproducible pipeline allows high-throughput sampling and population-scale analysis of stickleback specimens.</w:t>
      </w:r>
    </w:p>
    <w:p>
      <w:pPr>
        <w:pStyle w:val="BodyText"/>
      </w:pPr>
      <w:r>
        <w:t xml:space="preserve">The imaging and separation step is easy to generalize to either other micro-CT setups or other species and specimens.</w:t>
      </w:r>
      <w:r>
        <w:t xml:space="preserve"> </w:t>
      </w:r>
      <w:r>
        <w:t xml:space="preserve">As long as the specimens show up as distinct blobs in the MIP (see Figure</w:t>
      </w:r>
      <w:r>
        <w:t xml:space="preserve"> </w:t>
      </w:r>
      <w:hyperlink w:anchor="fig:labels">
        <w:r>
          <w:rPr>
            <w:rStyle w:val="Hyperlink"/>
          </w:rPr>
          <w:t xml:space="preserve">4</w:t>
        </w:r>
      </w:hyperlink>
      <w:r>
        <w:t xml:space="preserve">), our pipeline can reproducibly separate these blobs into a cropped dataset for any further processing, enabling a general, reproducible, and high-throughput micro-CT workflow in biology and other fields.</w:t>
      </w:r>
    </w:p>
    <w:bookmarkEnd w:id="167"/>
    <w:bookmarkStart w:id="168" w:name="findings-from-ceratobranchial-analysis"/>
    <w:p>
      <w:pPr>
        <w:pStyle w:val="Heading3"/>
      </w:pPr>
      <w:r>
        <w:t xml:space="preserve">Findings from Ceratobranchial Analysis</w:t>
      </w:r>
    </w:p>
    <w:p>
      <w:pPr>
        <w:pStyle w:val="FirstParagraph"/>
      </w:pPr>
      <w:r>
        <w:t xml:space="preserve">The first and second ceratobranchials differ remarkably in morphology, size, and breadth, suggesting that these structures may respond differently to changes in diet, even within the same feeding apparatus.</w:t>
      </w:r>
    </w:p>
    <w:p>
      <w:pPr>
        <w:pStyle w:val="BodyText"/>
      </w:pPr>
      <w:r>
        <w:t xml:space="preserve">CB1 showed statistically significant, albeit small, differences between benthic and limnetic ecotypes based on linear and pairwise analyses (PC4, accounting for 4.33% of the variation, appears to capture these differences; see supplementary figure).</w:t>
      </w:r>
      <w:r>
        <w:t xml:space="preserve"> </w:t>
      </w:r>
      <w:r>
        <w:t xml:space="preserve">However, we caution that the greater number of benthic lakes and specimens available for this study may contribute to these patterns, as the two groups (benthic and limnetic) exhibit statistically different variances.</w:t>
      </w:r>
      <w:r>
        <w:t xml:space="preserve"> </w:t>
      </w:r>
      <w:r>
        <w:t xml:space="preserve">This pipeline will allow for more extensive analysis from future sampling years to confirm these findings.</w:t>
      </w:r>
    </w:p>
    <w:p>
      <w:pPr>
        <w:pStyle w:val="BodyText"/>
      </w:pPr>
      <w:r>
        <w:t xml:space="preserve">Within CB2, limnetic fish (and particularly those from South Rolly Lake) appear to have narrower, less keeled bones than benthic fish.</w:t>
      </w:r>
      <w:r>
        <w:t xml:space="preserve"> </w:t>
      </w:r>
      <w:r>
        <w:t xml:space="preserve">The muscles that attach to the ceratobranchials (</w:t>
      </w:r>
      <w:r>
        <w:rPr>
          <w:iCs/>
          <w:i/>
        </w:rPr>
        <w:t xml:space="preserve">m. adductor branchialis</w:t>
      </w:r>
      <w:r>
        <w:t xml:space="preserve">,</w:t>
      </w:r>
      <w:r>
        <w:t xml:space="preserve"> </w:t>
      </w:r>
      <w:r>
        <w:rPr>
          <w:iCs/>
          <w:i/>
        </w:rPr>
        <w:t xml:space="preserve">m. abductor filament</w:t>
      </w:r>
      <w:r>
        <w:t xml:space="preserve">, and</w:t>
      </w:r>
      <w:r>
        <w:t xml:space="preserve"> </w:t>
      </w:r>
      <w:r>
        <w:rPr>
          <w:iCs/>
          <w:i/>
        </w:rPr>
        <w:t xml:space="preserve">m. obliquus ventralis</w:t>
      </w:r>
      <w:r>
        <w:t xml:space="preserve">) are attached along the lateral surfaces of these bones.</w:t>
      </w:r>
      <w:r>
        <w:t xml:space="preserve"> </w:t>
      </w:r>
      <w:r>
        <w:t xml:space="preserve">The increased surface area observed in benthic fish may provide a greater area for muscle attachment, which could enhance the ability of fish to abduct these structures during water filtration</w:t>
      </w:r>
      <w:r>
        <w:t xml:space="preserve"> </w:t>
      </w:r>
      <w:r>
        <w:t xml:space="preserve">(</w:t>
      </w:r>
      <w:hyperlink w:anchor="ref-v1hRNLF5">
        <w:r>
          <w:rPr>
            <w:rStyle w:val="Hyperlink"/>
          </w:rPr>
          <w:t xml:space="preserve">Takata &amp; Sasaki, 2005</w:t>
        </w:r>
      </w:hyperlink>
      <w:r>
        <w:t xml:space="preserve">;</w:t>
      </w:r>
      <w:r>
        <w:t xml:space="preserve"> </w:t>
      </w:r>
      <w:hyperlink w:anchor="ref-EWbJLKbO">
        <w:r>
          <w:rPr>
            <w:rStyle w:val="Hyperlink"/>
          </w:rPr>
          <w:t xml:space="preserve">Vandewalle et al., 2000</w:t>
        </w:r>
      </w:hyperlink>
      <w:r>
        <w:t xml:space="preserve">)</w:t>
      </w:r>
      <w:r>
        <w:t xml:space="preserve">.</w:t>
      </w:r>
      <w:r>
        <w:t xml:space="preserve"> </w:t>
      </w:r>
      <w:r>
        <w:t xml:space="preserve">Although the dietary analyses of these fish are still ongoing, these findings suggest that the South Rolly population may have unique dietary specializations and would be expected to feed differently than the fish from the other lakes in this study.</w:t>
      </w:r>
      <w:r>
        <w:t xml:space="preserve"> </w:t>
      </w:r>
      <w:r>
        <w:t xml:space="preserve">In terms of reintroduction, populations from this lake might be expected to fare better than others in terms of limnetic specialization.</w:t>
      </w:r>
      <w:r>
        <w:t xml:space="preserve"> </w:t>
      </w:r>
      <w:r>
        <w:t xml:space="preserve">Indeed, fish with South Rolly heritage outperform Spirit Lake fish in every transplant experiment in which both limnetic populations are included as part of the FITNESS project</w:t>
      </w:r>
      <w:r>
        <w:t xml:space="preserve"> </w:t>
      </w:r>
      <w:r>
        <w:t xml:space="preserve">(</w:t>
      </w:r>
      <w:hyperlink w:anchor="ref-11i8vzpUp">
        <w:r>
          <w:rPr>
            <w:rStyle w:val="Hyperlink"/>
          </w:rPr>
          <w:t xml:space="preserve">Eckert et al., 2026</w:t>
        </w:r>
      </w:hyperlink>
      <w:r>
        <w:t xml:space="preserve">)</w:t>
      </w:r>
      <w:r>
        <w:t xml:space="preserve">.</w:t>
      </w:r>
    </w:p>
    <w:p>
      <w:pPr>
        <w:pStyle w:val="BodyText"/>
      </w:pPr>
      <w:r>
        <w:t xml:space="preserve">The different responses of the first and second ceratobranchials raise the possibility of a modular response to dietary changes within the branchial basket.</w:t>
      </w:r>
      <w:r>
        <w:t xml:space="preserve"> </w:t>
      </w:r>
      <w:r>
        <w:t xml:space="preserve">Studies treating the branchial basket as a single structure, focusing only on the first ceratobranchial, or investigating only external morphology could potentially miss significant changes in shape and size of these structures, and this pipeline provides a wealth of data with which to conduct a follow-up study.</w:t>
      </w:r>
    </w:p>
    <w:bookmarkEnd w:id="168"/>
    <w:bookmarkStart w:id="169" w:name="future-improvements-and-issues"/>
    <w:p>
      <w:pPr>
        <w:pStyle w:val="Heading3"/>
      </w:pPr>
      <w:r>
        <w:t xml:space="preserve">Future Improvements and Issues</w:t>
      </w:r>
    </w:p>
    <w:p>
      <w:pPr>
        <w:pStyle w:val="FirstParagraph"/>
      </w:pPr>
      <w:r>
        <w:t xml:space="preserve">As with other multi-specimen scanning projects, the scanning parameters can be optimized individually for each scan but not for each individual specimen.</w:t>
      </w:r>
      <w:r>
        <w:t xml:space="preserve"> </w:t>
      </w:r>
      <w:r>
        <w:t xml:space="preserve">Additionally, atypically large or dense specimens cause an issue for the holder and the reproducibility between scans.</w:t>
      </w:r>
      <w:r>
        <w:t xml:space="preserve"> </w:t>
      </w:r>
      <w:r>
        <w:t xml:space="preserve">As with most machine learning frameworks, the training dataset must encompass the full range of anatomical variation to prevent segmentation errors.</w:t>
      </w:r>
    </w:p>
    <w:bookmarkEnd w:id="169"/>
    <w:bookmarkEnd w:id="170"/>
    <w:bookmarkStart w:id="171" w:name="conclusions"/>
    <w:p>
      <w:pPr>
        <w:pStyle w:val="Heading2"/>
      </w:pPr>
      <w:r>
        <w:t xml:space="preserve">Conclusions</w:t>
      </w:r>
    </w:p>
    <w:p>
      <w:pPr>
        <w:pStyle w:val="FirstParagraph"/>
      </w:pPr>
      <w:r>
        <w:t xml:space="preserve">The provided pipeline enables repeatable, high-throughput analysis of 3D shape in stickleback specimens.</w:t>
      </w:r>
      <w:r>
        <w:t xml:space="preserve"> </w:t>
      </w:r>
      <w:r>
        <w:t xml:space="preserve">Although applied here to stickleback specimens, the described methods can readily be applied to large-scale sampling efforts of multiple taxonomic groups, with data acquired with diverse imaging setups (not only micro-CT) and different sample holders, due to the use of simple region detection and reproducible logging.</w:t>
      </w:r>
      <w:r>
        <w:t xml:space="preserve"> </w:t>
      </w:r>
      <w:r>
        <w:t xml:space="preserve">Extracting individual specimens from multi-specimen scans is efficient; a custom 3D-printed holder and automated splitting pipeline minimize operator time and maximize throughput.</w:t>
      </w:r>
    </w:p>
    <w:p>
      <w:pPr>
        <w:pStyle w:val="BodyText"/>
      </w:pPr>
      <w:r>
        <w:t xml:space="preserve">The reproducible scans and their consistent quality rapidly provide a large amount of similar data, ideal for training machine learning models.</w:t>
      </w:r>
      <w:r>
        <w:t xml:space="preserve"> </w:t>
      </w:r>
      <w:r>
        <w:t xml:space="preserve">In its current implementation, Biomedisa is on average 50 times faster than manual segmentation by a skilled operator, and without the interoperator variability inherent to manually segmenting large numbers of specimens.</w:t>
      </w:r>
      <w:r>
        <w:t xml:space="preserve"> </w:t>
      </w:r>
      <w:r>
        <w:t xml:space="preserve">This puts virtual, nondestructive dissection of internal stickleback anatomy on par with, if not beyond, hand dissection.</w:t>
      </w:r>
    </w:p>
    <w:p>
      <w:pPr>
        <w:pStyle w:val="BodyText"/>
      </w:pPr>
      <w:r>
        <w:t xml:space="preserve">Finally, the 3D analysis step of the pipeline allows for insights from 3D data that cannot be obtained from traditional dissection, including complex shapes and arrangements not accessible through destructive sampling approaches.</w:t>
      </w:r>
    </w:p>
    <w:bookmarkEnd w:id="171"/>
    <w:bookmarkStart w:id="187" w:name="authors-contributions"/>
    <w:p>
      <w:pPr>
        <w:pStyle w:val="Heading2"/>
      </w:pPr>
      <w:r>
        <w:t xml:space="preserve">Authors’ Contributions</w:t>
      </w:r>
    </w:p>
    <w:p>
      <w:pPr>
        <w:pStyle w:val="FirstParagraph"/>
      </w:pPr>
      <w:hyperlink r:id="rId172">
        <w:r>
          <w:rPr>
            <w:rStyle w:val="Hyperlink"/>
          </w:rPr>
          <w:t xml:space="preserve">Contributor Roles Taxonomy (CRediT)</w:t>
        </w:r>
      </w:hyperlink>
      <w:r>
        <w:t xml:space="preserve">, as defined in</w:t>
      </w:r>
      <w:r>
        <w:t xml:space="preserve"> </w:t>
      </w:r>
      <w:r>
        <w:t xml:space="preserve">(</w:t>
      </w:r>
      <w:hyperlink w:anchor="ref-11ofsO2hq">
        <w:r>
          <w:rPr>
            <w:rStyle w:val="Hyperlink"/>
          </w:rPr>
          <w:t xml:space="preserve">n.d.</w:t>
        </w:r>
      </w:hyperlink>
      <w:r>
        <w:t xml:space="preserve">)</w:t>
      </w:r>
      <w:r>
        <w:t xml:space="preserve">:</w:t>
      </w:r>
    </w:p>
    <w:p>
      <w:pPr>
        <w:numPr>
          <w:ilvl w:val="0"/>
          <w:numId w:val="1002"/>
        </w:numPr>
        <w:pStyle w:val="Compact"/>
      </w:pPr>
      <w:hyperlink r:id="rId173">
        <w:r>
          <w:rPr>
            <w:rStyle w:val="Hyperlink"/>
          </w:rPr>
          <w:t xml:space="preserve">Conceptualization</w:t>
        </w:r>
      </w:hyperlink>
      <w:r>
        <w:t xml:space="preserve">: R. Benjamin Sulser, Sheila Christen, Ruslan Hlushchuk</w:t>
      </w:r>
    </w:p>
    <w:p>
      <w:pPr>
        <w:numPr>
          <w:ilvl w:val="0"/>
          <w:numId w:val="1002"/>
        </w:numPr>
        <w:pStyle w:val="Compact"/>
      </w:pPr>
      <w:hyperlink r:id="rId174">
        <w:r>
          <w:rPr>
            <w:rStyle w:val="Hyperlink"/>
          </w:rPr>
          <w:t xml:space="preserve">Data curation</w:t>
        </w:r>
      </w:hyperlink>
      <w:r>
        <w:t xml:space="preserve">: David Haberthür, R. Benjamin Sulser, Sheila Christen</w:t>
      </w:r>
    </w:p>
    <w:p>
      <w:pPr>
        <w:numPr>
          <w:ilvl w:val="0"/>
          <w:numId w:val="1002"/>
        </w:numPr>
        <w:pStyle w:val="Compact"/>
      </w:pPr>
      <w:hyperlink r:id="rId175">
        <w:r>
          <w:rPr>
            <w:rStyle w:val="Hyperlink"/>
          </w:rPr>
          <w:t xml:space="preserve">Formal analysis</w:t>
        </w:r>
      </w:hyperlink>
      <w:r>
        <w:t xml:space="preserve">: David Haberthür, R. Benjamin Sulser, Sheila Christen</w:t>
      </w:r>
    </w:p>
    <w:p>
      <w:pPr>
        <w:numPr>
          <w:ilvl w:val="0"/>
          <w:numId w:val="1002"/>
        </w:numPr>
        <w:pStyle w:val="Compact"/>
      </w:pPr>
      <w:hyperlink r:id="rId176">
        <w:r>
          <w:rPr>
            <w:rStyle w:val="Hyperlink"/>
          </w:rPr>
          <w:t xml:space="preserve">Funding acquisition</w:t>
        </w:r>
      </w:hyperlink>
      <w:r>
        <w:t xml:space="preserve">: R. Benjamin Sulser, Catherine L. Peichel, Ruslan Hlushchuk</w:t>
      </w:r>
    </w:p>
    <w:p>
      <w:pPr>
        <w:numPr>
          <w:ilvl w:val="0"/>
          <w:numId w:val="1002"/>
        </w:numPr>
        <w:pStyle w:val="Compact"/>
      </w:pPr>
      <w:hyperlink r:id="rId177">
        <w:r>
          <w:rPr>
            <w:rStyle w:val="Hyperlink"/>
          </w:rPr>
          <w:t xml:space="preserve">Investigation</w:t>
        </w:r>
      </w:hyperlink>
      <w:r>
        <w:t xml:space="preserve">: David Haberthür, R. Benjamin Sulser, Sheila Christen</w:t>
      </w:r>
    </w:p>
    <w:p>
      <w:pPr>
        <w:numPr>
          <w:ilvl w:val="0"/>
          <w:numId w:val="1002"/>
        </w:numPr>
        <w:pStyle w:val="Compact"/>
      </w:pPr>
      <w:hyperlink r:id="rId178">
        <w:r>
          <w:rPr>
            <w:rStyle w:val="Hyperlink"/>
          </w:rPr>
          <w:t xml:space="preserve">Methodology</w:t>
        </w:r>
      </w:hyperlink>
      <w:r>
        <w:t xml:space="preserve">: David Haberthür, R. Benjamin Sulser, Sheila Christen, Ruslan Hlushchuk</w:t>
      </w:r>
    </w:p>
    <w:p>
      <w:pPr>
        <w:numPr>
          <w:ilvl w:val="0"/>
          <w:numId w:val="1002"/>
        </w:numPr>
        <w:pStyle w:val="Compact"/>
      </w:pPr>
      <w:hyperlink r:id="rId179">
        <w:r>
          <w:rPr>
            <w:rStyle w:val="Hyperlink"/>
          </w:rPr>
          <w:t xml:space="preserve">Project administration</w:t>
        </w:r>
      </w:hyperlink>
      <w:r>
        <w:t xml:space="preserve">: David Haberthür, R. Benjamin Sulser, Catherine L. Peichel, Ruslan Hlushchuk</w:t>
      </w:r>
    </w:p>
    <w:p>
      <w:pPr>
        <w:numPr>
          <w:ilvl w:val="0"/>
          <w:numId w:val="1002"/>
        </w:numPr>
        <w:pStyle w:val="Compact"/>
      </w:pPr>
      <w:hyperlink r:id="rId180">
        <w:r>
          <w:rPr>
            <w:rStyle w:val="Hyperlink"/>
          </w:rPr>
          <w:t xml:space="preserve">Resources</w:t>
        </w:r>
      </w:hyperlink>
      <w:r>
        <w:t xml:space="preserve">: R. Benjamin Sulser, Ruslan Hlushchuk</w:t>
      </w:r>
    </w:p>
    <w:p>
      <w:pPr>
        <w:numPr>
          <w:ilvl w:val="0"/>
          <w:numId w:val="1002"/>
        </w:numPr>
        <w:pStyle w:val="Compact"/>
      </w:pPr>
      <w:hyperlink r:id="rId181">
        <w:r>
          <w:rPr>
            <w:rStyle w:val="Hyperlink"/>
          </w:rPr>
          <w:t xml:space="preserve">Software</w:t>
        </w:r>
      </w:hyperlink>
      <w:r>
        <w:t xml:space="preserve">: David Haberthür, R. Benjamin Sulser</w:t>
      </w:r>
    </w:p>
    <w:p>
      <w:pPr>
        <w:numPr>
          <w:ilvl w:val="0"/>
          <w:numId w:val="1002"/>
        </w:numPr>
        <w:pStyle w:val="Compact"/>
      </w:pPr>
      <w:hyperlink r:id="rId182">
        <w:r>
          <w:rPr>
            <w:rStyle w:val="Hyperlink"/>
          </w:rPr>
          <w:t xml:space="preserve">Supervision</w:t>
        </w:r>
      </w:hyperlink>
      <w:r>
        <w:t xml:space="preserve">: R. Benjamin Sulser, Catherine L. Peichel, Ruslan Hlushchuk</w:t>
      </w:r>
    </w:p>
    <w:p>
      <w:pPr>
        <w:numPr>
          <w:ilvl w:val="0"/>
          <w:numId w:val="1002"/>
        </w:numPr>
        <w:pStyle w:val="Compact"/>
      </w:pPr>
      <w:hyperlink r:id="rId183">
        <w:r>
          <w:rPr>
            <w:rStyle w:val="Hyperlink"/>
          </w:rPr>
          <w:t xml:space="preserve">Validation</w:t>
        </w:r>
      </w:hyperlink>
      <w:r>
        <w:t xml:space="preserve">: David Haberthür, R. Benjamin Sulser, Sheila Christen</w:t>
      </w:r>
    </w:p>
    <w:p>
      <w:pPr>
        <w:numPr>
          <w:ilvl w:val="0"/>
          <w:numId w:val="1002"/>
        </w:numPr>
        <w:pStyle w:val="Compact"/>
      </w:pPr>
      <w:hyperlink r:id="rId184">
        <w:r>
          <w:rPr>
            <w:rStyle w:val="Hyperlink"/>
          </w:rPr>
          <w:t xml:space="preserve">Visualization</w:t>
        </w:r>
      </w:hyperlink>
      <w:r>
        <w:t xml:space="preserve">: David Haberthür, R. Benjamin Sulser, Sheila Christen</w:t>
      </w:r>
    </w:p>
    <w:p>
      <w:pPr>
        <w:numPr>
          <w:ilvl w:val="0"/>
          <w:numId w:val="1002"/>
        </w:numPr>
        <w:pStyle w:val="Compact"/>
      </w:pPr>
      <w:hyperlink r:id="rId185">
        <w:r>
          <w:rPr>
            <w:rStyle w:val="Hyperlink"/>
          </w:rPr>
          <w:t xml:space="preserve">Writing – original draft</w:t>
        </w:r>
      </w:hyperlink>
      <w:r>
        <w:t xml:space="preserve">: David Haberthür, R. Benjamin Sulser</w:t>
      </w:r>
    </w:p>
    <w:p>
      <w:pPr>
        <w:numPr>
          <w:ilvl w:val="0"/>
          <w:numId w:val="1002"/>
        </w:numPr>
        <w:pStyle w:val="Compact"/>
      </w:pPr>
      <w:hyperlink r:id="rId186">
        <w:r>
          <w:rPr>
            <w:rStyle w:val="Hyperlink"/>
          </w:rPr>
          <w:t xml:space="preserve">Writing – review &amp; editing</w:t>
        </w:r>
      </w:hyperlink>
      <w:r>
        <w:t xml:space="preserve">: David Haberthür, R. Benjamin Sulser, Sheila Christen, Catherine L. Peichel, Ruslan Hlushchuk</w:t>
      </w:r>
    </w:p>
    <w:bookmarkEnd w:id="187"/>
    <w:bookmarkStart w:id="189" w:name="use-of-ai-tools"/>
    <w:p>
      <w:pPr>
        <w:pStyle w:val="Heading2"/>
      </w:pPr>
      <w:r>
        <w:t xml:space="preserve">Use of AI tools</w:t>
      </w:r>
    </w:p>
    <w:p>
      <w:pPr>
        <w:pStyle w:val="FirstParagraph"/>
      </w:pPr>
      <w:r>
        <w:t xml:space="preserve">Large language models were used to identify spelling and grammatical errors and to suggest wording for individual sentences during the revision, to assist with writing and debugging the analysis code, and to obtain feedback from</w:t>
      </w:r>
      <w:r>
        <w:t xml:space="preserve"> </w:t>
      </w:r>
      <w:hyperlink r:id="rId188">
        <w:r>
          <w:rPr>
            <w:rStyle w:val="Hyperlink"/>
          </w:rPr>
          <w:t xml:space="preserve">the Stanford Agentic Reviewer</w:t>
        </w:r>
      </w:hyperlink>
      <w:r>
        <w:t xml:space="preserve">.</w:t>
      </w:r>
      <w:r>
        <w:t xml:space="preserve"> </w:t>
      </w:r>
      <w:r>
        <w:t xml:space="preserve">The authors reviewed all suggestions, selectively incorporated them, and take full responsibility for the content of the manuscript and the code.</w:t>
      </w:r>
      <w:r>
        <w:t xml:space="preserve"> </w:t>
      </w:r>
      <w:r>
        <w:t xml:space="preserve">No generative AI was used to generate the scientific content of the manuscript.</w:t>
      </w:r>
    </w:p>
    <w:bookmarkEnd w:id="189"/>
    <w:bookmarkStart w:id="190" w:name="competing-interests"/>
    <w:p>
      <w:pPr>
        <w:pStyle w:val="Heading2"/>
      </w:pPr>
      <w:r>
        <w:t xml:space="preserve">Competing Interests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Author</w:t>
            </w:r>
          </w:p>
        </w:tc>
        <w:tc>
          <w:tcPr/>
          <w:p>
            <w:pPr>
              <w:pStyle w:val="Compact"/>
              <w:jc w:val="left"/>
            </w:pPr>
            <w:r>
              <w:t xml:space="preserve">Competing Interests</w:t>
            </w:r>
          </w:p>
        </w:tc>
        <w:tc>
          <w:tcPr/>
          <w:p>
            <w:pPr>
              <w:pStyle w:val="Compact"/>
              <w:jc w:val="left"/>
            </w:pPr>
            <w:r>
              <w:t xml:space="preserve">Last Reviewed</w:t>
            </w:r>
          </w:p>
        </w:tc>
      </w:tr>
      <w:tr>
        <w:tc>
          <w:tcPr/>
          <w:p>
            <w:pPr>
              <w:pStyle w:val="Compact"/>
              <w:jc w:val="left"/>
            </w:pPr>
            <w:r>
              <w:t xml:space="preserve">David Haberthür</w:t>
            </w:r>
          </w:p>
        </w:tc>
        <w:tc>
          <w:tcPr/>
          <w:p>
            <w:pPr>
              <w:pStyle w:val="Compact"/>
              <w:jc w:val="left"/>
            </w:pPr>
            <w:r>
              <w:t xml:space="preserve">Nothing to declare</w:t>
            </w:r>
          </w:p>
        </w:tc>
        <w:tc>
          <w:tcPr/>
          <w:p>
            <w:pPr>
              <w:pStyle w:val="Compact"/>
              <w:jc w:val="left"/>
            </w:pPr>
            <w:r>
              <w:t xml:space="preserve">2026-01-14</w:t>
            </w:r>
          </w:p>
        </w:tc>
      </w:tr>
      <w:tr>
        <w:tc>
          <w:tcPr/>
          <w:p>
            <w:pPr>
              <w:pStyle w:val="Compact"/>
              <w:jc w:val="left"/>
            </w:pPr>
            <w:r>
              <w:t xml:space="preserve">R. Benjamin Sulser</w:t>
            </w:r>
          </w:p>
        </w:tc>
        <w:tc>
          <w:tcPr/>
          <w:p>
            <w:pPr>
              <w:pStyle w:val="Compact"/>
              <w:jc w:val="left"/>
            </w:pPr>
            <w:r>
              <w:t xml:space="preserve">Nothing to declare</w:t>
            </w:r>
          </w:p>
        </w:tc>
        <w:tc>
          <w:tcPr/>
          <w:p>
            <w:pPr>
              <w:pStyle w:val="Compact"/>
              <w:jc w:val="left"/>
            </w:pPr>
            <w:r>
              <w:t xml:space="preserve">2026-07-28</w:t>
            </w:r>
          </w:p>
        </w:tc>
      </w:tr>
      <w:tr>
        <w:tc>
          <w:tcPr/>
          <w:p>
            <w:pPr>
              <w:pStyle w:val="Compact"/>
              <w:jc w:val="left"/>
            </w:pPr>
            <w:r>
              <w:t xml:space="preserve">Sheila Christen</w:t>
            </w:r>
          </w:p>
        </w:tc>
        <w:tc>
          <w:tcPr/>
          <w:p>
            <w:pPr>
              <w:pStyle w:val="Compact"/>
              <w:jc w:val="left"/>
            </w:pPr>
            <w:r>
              <w:t xml:space="preserve">Nothing to declare</w:t>
            </w:r>
          </w:p>
        </w:tc>
        <w:tc>
          <w:tcPr/>
          <w:p>
            <w:pPr>
              <w:pStyle w:val="Compact"/>
              <w:jc w:val="left"/>
            </w:pPr>
            <w:r>
              <w:t xml:space="preserve">2026-07-13</w:t>
            </w:r>
          </w:p>
        </w:tc>
      </w:tr>
      <w:tr>
        <w:tc>
          <w:tcPr/>
          <w:p>
            <w:pPr>
              <w:pStyle w:val="Compact"/>
              <w:jc w:val="left"/>
            </w:pPr>
            <w:r>
              <w:t xml:space="preserve">Catherine L. Peichel</w:t>
            </w:r>
          </w:p>
        </w:tc>
        <w:tc>
          <w:tcPr/>
          <w:p>
            <w:pPr>
              <w:pStyle w:val="Compact"/>
              <w:jc w:val="left"/>
            </w:pPr>
            <w:r>
              <w:t xml:space="preserve">Nothing to declare</w:t>
            </w:r>
          </w:p>
        </w:tc>
        <w:tc>
          <w:tcPr/>
          <w:p>
            <w:pPr>
              <w:pStyle w:val="Compact"/>
              <w:jc w:val="left"/>
            </w:pPr>
            <w:r>
              <w:t xml:space="preserve">2026-01-19</w:t>
            </w:r>
          </w:p>
        </w:tc>
      </w:tr>
      <w:tr>
        <w:tc>
          <w:tcPr/>
          <w:p>
            <w:pPr>
              <w:pStyle w:val="Compact"/>
              <w:jc w:val="left"/>
            </w:pPr>
            <w:r>
              <w:t xml:space="preserve">Ruslan Hlushchuk</w:t>
            </w:r>
          </w:p>
        </w:tc>
        <w:tc>
          <w:tcPr/>
          <w:p>
            <w:pPr>
              <w:pStyle w:val="Compact"/>
              <w:jc w:val="left"/>
            </w:pPr>
            <w:r>
              <w:t xml:space="preserve">Nothing to declare</w:t>
            </w:r>
          </w:p>
        </w:tc>
        <w:tc>
          <w:tcPr/>
          <w:p>
            <w:pPr>
              <w:pStyle w:val="Compact"/>
              <w:jc w:val="left"/>
            </w:pPr>
            <w:r>
              <w:t xml:space="preserve">2026-01-19</w:t>
            </w:r>
          </w:p>
        </w:tc>
      </w:tr>
    </w:tbl>
    <w:bookmarkEnd w:id="190"/>
    <w:bookmarkStart w:id="192" w:name="acknowledgments"/>
    <w:p>
      <w:pPr>
        <w:pStyle w:val="Heading2"/>
      </w:pPr>
      <w:r>
        <w:t xml:space="preserve">Acknowledgments</w:t>
      </w:r>
    </w:p>
    <w:p>
      <w:pPr>
        <w:pStyle w:val="FirstParagraph"/>
      </w:pPr>
      <w:r>
        <w:t xml:space="preserve">We are grateful to the</w:t>
      </w:r>
      <w:r>
        <w:t xml:space="preserve"> </w:t>
      </w:r>
      <w:hyperlink r:id="rId191">
        <w:r>
          <w:rPr>
            <w:rStyle w:val="Hyperlink"/>
          </w:rPr>
          <w:t xml:space="preserve">Microscopy Imaging Center</w:t>
        </w:r>
      </w:hyperlink>
      <w:r>
        <w:t xml:space="preserve"> </w:t>
      </w:r>
      <w:r>
        <w:t xml:space="preserve">of the University of Bern for their infrastructural support.</w:t>
      </w:r>
      <w:r>
        <w:t xml:space="preserve"> </w:t>
      </w:r>
      <w:r>
        <w:t xml:space="preserve">We also thank the</w:t>
      </w:r>
      <w:r>
        <w:t xml:space="preserve"> </w:t>
      </w:r>
      <w:r>
        <w:rPr>
          <w:rStyle w:val="VerbatimChar"/>
        </w:rPr>
        <w:t xml:space="preserve">manubot</w:t>
      </w:r>
      <w:r>
        <w:t xml:space="preserve"> </w:t>
      </w:r>
      <w:r>
        <w:t xml:space="preserve">project</w:t>
      </w:r>
      <w:r>
        <w:t xml:space="preserve"> </w:t>
      </w:r>
      <w:r>
        <w:t xml:space="preserve">(</w:t>
      </w:r>
      <w:hyperlink w:anchor="ref-YuJbg3zO">
        <w:r>
          <w:rPr>
            <w:rStyle w:val="Hyperlink"/>
          </w:rPr>
          <w:t xml:space="preserve">Himmelstein et al., 2019</w:t>
        </w:r>
      </w:hyperlink>
      <w:r>
        <w:t xml:space="preserve">)</w:t>
      </w:r>
      <w:r>
        <w:t xml:space="preserve"> </w:t>
      </w:r>
      <w:r>
        <w:t xml:space="preserve">for facilitating collaborative writing of this manuscript.</w:t>
      </w:r>
    </w:p>
    <w:bookmarkEnd w:id="192"/>
    <w:bookmarkStart w:id="214" w:name="supplementary-materials"/>
    <w:p>
      <w:pPr>
        <w:pStyle w:val="Heading2"/>
      </w:pPr>
      <w:r>
        <w:t xml:space="preserve">Supplementary Materials</w:t>
      </w:r>
    </w:p>
    <w:bookmarkStart w:id="197" w:name="supplementary-figure"/>
    <w:p>
      <w:pPr>
        <w:pStyle w:val="Heading3"/>
      </w:pPr>
      <w:r>
        <w:t xml:space="preserve">Supplementary figure</w:t>
      </w:r>
    </w:p>
    <w:bookmarkStart w:id="0" w:name="fig:pc4"/>
    <w:p>
      <w:pPr>
        <w:pStyle w:val="CaptionedFigure"/>
      </w:pPr>
      <w:bookmarkStart w:id="196" w:name="fig:pc4"/>
      <w:r>
        <w:drawing>
          <wp:inline>
            <wp:extent cx="5943600" cy="4136942"/>
            <wp:effectExtent b="0" l="0" r="0" t="0"/>
            <wp:docPr descr="Figure 14: PCA of first ceratobranchial. PC4 accounts for 4.33% of the variation." title="" id="194" name="Picture"/>
            <a:graphic>
              <a:graphicData uri="http://schemas.openxmlformats.org/drawingml/2006/picture">
                <pic:pic>
                  <pic:nvPicPr>
                    <pic:cNvPr descr="images/Supplementary_Figure_PC1_vs_PC4.png" id="195" name="Picture"/>
                    <pic:cNvPicPr>
                      <a:picLocks noChangeArrowheads="1" noChangeAspect="1"/>
                    </pic:cNvPicPr>
                  </pic:nvPicPr>
                  <pic:blipFill>
                    <a:blip r:embed="rId193"/>
                    <a:stretch>
                      <a:fillRect/>
                    </a:stretch>
                  </pic:blipFill>
                  <pic:spPr bwMode="auto">
                    <a:xfrm>
                      <a:off x="0" y="0"/>
                      <a:ext cx="5943600" cy="4136942"/>
                    </a:xfrm>
                    <a:prstGeom prst="rect">
                      <a:avLst/>
                    </a:prstGeom>
                    <a:noFill/>
                    <a:ln w="9525">
                      <a:noFill/>
                      <a:headEnd/>
                      <a:tailEnd/>
                    </a:ln>
                  </pic:spPr>
                </pic:pic>
              </a:graphicData>
            </a:graphic>
          </wp:inline>
        </w:drawing>
      </w:r>
      <w:bookmarkEnd w:id="196"/>
    </w:p>
    <w:p>
      <w:pPr>
        <w:pStyle w:val="ImageCaption"/>
      </w:pPr>
      <w:r>
        <w:t xml:space="preserve">Figure 14: PCA of first ceratobranchial.</w:t>
      </w:r>
      <w:r>
        <w:t xml:space="preserve"> </w:t>
      </w:r>
      <w:r>
        <w:t xml:space="preserve">PC4 accounts for 4.33% of the variation.</w:t>
      </w:r>
    </w:p>
    <w:bookmarkEnd w:id="0"/>
    <w:bookmarkEnd w:id="197"/>
    <w:bookmarkStart w:id="201" w:name="X8d4034ea48e8b965aecdb1df166641261f69611"/>
    <w:p>
      <w:pPr>
        <w:pStyle w:val="Heading3"/>
      </w:pPr>
      <w:r>
        <w:t xml:space="preserve">Parameters of Tomographic Scans of All Fish</w:t>
      </w:r>
    </w:p>
    <w:p>
      <w:pPr>
        <w:pStyle w:val="FirstParagraph"/>
      </w:pPr>
      <w:r>
        <w:t xml:space="preserve">The CSV file</w:t>
      </w:r>
      <w:r>
        <w:t xml:space="preserve"> </w:t>
      </w:r>
      <w:hyperlink r:id="rId198">
        <w:r>
          <w:rPr>
            <w:rStyle w:val="Hyperlink"/>
          </w:rPr>
          <w:t xml:space="preserve">ScanningDetails.csv</w:t>
        </w:r>
      </w:hyperlink>
      <w:r>
        <w:t xml:space="preserve"> </w:t>
      </w:r>
      <w:r>
        <w:t xml:space="preserve">gives a tabular overview of all the (relevant) parameters of all the scans we performed.</w:t>
      </w:r>
      <w:r>
        <w:t xml:space="preserve"> </w:t>
      </w:r>
      <w:r>
        <w:t xml:space="preserve">This file was generated with the</w:t>
      </w:r>
      <w:r>
        <w:t xml:space="preserve"> </w:t>
      </w:r>
      <w:hyperlink r:id="rId199">
        <w:r>
          <w:rPr>
            <w:rStyle w:val="Hyperlink"/>
          </w:rPr>
          <w:t xml:space="preserve">data processing notebook</w:t>
        </w:r>
      </w:hyperlink>
      <w:r>
        <w:t xml:space="preserve"> </w:t>
      </w:r>
      <w:r>
        <w:t xml:space="preserve">and collates the relevant data read from</w:t>
      </w:r>
      <w:r>
        <w:t xml:space="preserve"> </w:t>
      </w:r>
      <w:r>
        <w:rPr>
          <w:iCs/>
          <w:i/>
        </w:rPr>
        <w:t xml:space="preserve">all</w:t>
      </w:r>
      <w:r>
        <w:t xml:space="preserve"> </w:t>
      </w:r>
      <w:r>
        <w:t xml:space="preserve">the log files of</w:t>
      </w:r>
      <w:r>
        <w:t xml:space="preserve"> </w:t>
      </w:r>
      <w:r>
        <w:rPr>
          <w:iCs/>
          <w:i/>
        </w:rPr>
        <w:t xml:space="preserve">all</w:t>
      </w:r>
      <w:r>
        <w:t xml:space="preserve"> </w:t>
      </w:r>
      <w:r>
        <w:t xml:space="preserve">the scans we performed for this study.</w:t>
      </w:r>
      <w:r>
        <w:t xml:space="preserve"> </w:t>
      </w:r>
      <w:r>
        <w:t xml:space="preserve">A copy of each log file containing</w:t>
      </w:r>
      <w:r>
        <w:t xml:space="preserve"> </w:t>
      </w:r>
      <w:r>
        <w:rPr>
          <w:iCs/>
          <w:i/>
        </w:rPr>
        <w:t xml:space="preserve">all</w:t>
      </w:r>
      <w:r>
        <w:t xml:space="preserve"> </w:t>
      </w:r>
      <w:r>
        <w:t xml:space="preserve">scanning parameters is available in a</w:t>
      </w:r>
      <w:r>
        <w:t xml:space="preserve"> </w:t>
      </w:r>
      <w:hyperlink r:id="rId200">
        <w:r>
          <w:rPr>
            <w:rStyle w:val="Hyperlink"/>
          </w:rPr>
          <w:t xml:space="preserve">folder in the data processing repository</w:t>
        </w:r>
      </w:hyperlink>
      <w:r>
        <w:t xml:space="preserve"> </w:t>
      </w:r>
      <w:r>
        <w:t xml:space="preserve">of this project.</w:t>
      </w:r>
    </w:p>
    <w:bookmarkEnd w:id="201"/>
    <w:bookmarkStart w:id="213" w:name="analysis-scripts"/>
    <w:p>
      <w:pPr>
        <w:pStyle w:val="Heading3"/>
      </w:pPr>
      <w:r>
        <w:t xml:space="preserve">Analysis Scripts</w:t>
      </w:r>
    </w:p>
    <w:bookmarkStart w:id="204" w:name="Xe3ee3c58ea407ebdb39ae13800f95d01cdf6e28"/>
    <w:p>
      <w:pPr>
        <w:pStyle w:val="Heading4"/>
      </w:pPr>
      <w:r>
        <w:t xml:space="preserve">Jupyter; (Pre)processing of Tomographic Data</w:t>
      </w:r>
    </w:p>
    <w:p>
      <w:pPr>
        <w:pStyle w:val="FirstParagraph"/>
      </w:pPr>
      <w:r>
        <w:t xml:space="preserve">All Jupyter notebooks used to process the acquired tomographic data as described in the text are available</w:t>
      </w:r>
      <w:r>
        <w:t xml:space="preserve"> </w:t>
      </w:r>
      <w:hyperlink r:id="rId202">
        <w:r>
          <w:rPr>
            <w:rStyle w:val="Hyperlink"/>
          </w:rPr>
          <w:t xml:space="preserve">on GitHub</w:t>
        </w:r>
      </w:hyperlink>
      <w:r>
        <w:t xml:space="preserve"> </w:t>
      </w:r>
      <w:r>
        <w:t xml:space="preserve">and can be previewed with</w:t>
      </w:r>
      <w:r>
        <w:t xml:space="preserve"> </w:t>
      </w:r>
      <w:hyperlink r:id="rId203">
        <w:r>
          <w:rPr>
            <w:rStyle w:val="Hyperlink"/>
          </w:rPr>
          <w:t xml:space="preserve">nbviewer</w:t>
        </w:r>
      </w:hyperlink>
      <w:r>
        <w:t xml:space="preserve">.</w:t>
      </w:r>
    </w:p>
    <w:bookmarkEnd w:id="204"/>
    <w:bookmarkStart w:id="207" w:name="X6bc734487f7438f1df3020b45c3c4edefa69cb1"/>
    <w:p>
      <w:pPr>
        <w:pStyle w:val="Heading4"/>
      </w:pPr>
      <w:r>
        <w:t xml:space="preserve">Cropped Tomographic Data of Each Extracted Fish</w:t>
      </w:r>
    </w:p>
    <w:p>
      <w:pPr>
        <w:pStyle w:val="FirstParagraph"/>
      </w:pPr>
      <w:r>
        <w:t xml:space="preserve">The cropped datasets for analysis include the region with the 3D-printed label of the multi-specimen holder to keep the process reproducible in an end-to-end fashion.</w:t>
      </w:r>
      <w:r>
        <w:t xml:space="preserve"> </w:t>
      </w:r>
      <w:r>
        <w:t xml:space="preserve">We further cropped the datasets along the anteroposterior axis with a</w:t>
      </w:r>
      <w:r>
        <w:t xml:space="preserve"> </w:t>
      </w:r>
      <w:hyperlink r:id="rId205">
        <w:r>
          <w:rPr>
            <w:rStyle w:val="Hyperlink"/>
          </w:rPr>
          <w:t xml:space="preserve">helper notebook</w:t>
        </w:r>
      </w:hyperlink>
      <w:r>
        <w:t xml:space="preserve">.</w:t>
      </w:r>
      <w:r>
        <w:t xml:space="preserve"> </w:t>
      </w:r>
      <w:r>
        <w:t xml:space="preserve">These datasets do</w:t>
      </w:r>
      <w:r>
        <w:t xml:space="preserve"> </w:t>
      </w:r>
      <w:r>
        <w:rPr>
          <w:iCs/>
          <w:i/>
        </w:rPr>
        <w:t xml:space="preserve">not</w:t>
      </w:r>
      <w:r>
        <w:t xml:space="preserve"> </w:t>
      </w:r>
      <w:r>
        <w:t xml:space="preserve">include the region of the 3D-printed label, but are minimized to only the fish region.</w:t>
      </w:r>
      <w:r>
        <w:t xml:space="preserve"> </w:t>
      </w:r>
      <w:r>
        <w:t xml:space="preserve">A</w:t>
      </w:r>
      <w:r>
        <w:t xml:space="preserve"> </w:t>
      </w:r>
      <w:r>
        <w:rPr>
          <w:rStyle w:val="VerbatimChar"/>
        </w:rPr>
        <w:t xml:space="preserve">png</w:t>
      </w:r>
      <w:r>
        <w:t xml:space="preserve"> </w:t>
      </w:r>
      <w:r>
        <w:t xml:space="preserve">stack of</w:t>
      </w:r>
      <w:r>
        <w:t xml:space="preserve"> </w:t>
      </w:r>
      <w:r>
        <w:rPr>
          <w:iCs/>
          <w:i/>
        </w:rPr>
        <w:t xml:space="preserve">each</w:t>
      </w:r>
      <w:r>
        <w:t xml:space="preserve"> </w:t>
      </w:r>
      <w:r>
        <w:t xml:space="preserve">such cropped fish region is available in</w:t>
      </w:r>
      <w:r>
        <w:t xml:space="preserve"> </w:t>
      </w:r>
      <w:hyperlink r:id="rId206">
        <w:r>
          <w:rPr>
            <w:rStyle w:val="Hyperlink"/>
          </w:rPr>
          <w:t xml:space="preserve">a collection at MorphoSource</w:t>
        </w:r>
      </w:hyperlink>
      <w:r>
        <w:t xml:space="preserve"> </w:t>
      </w:r>
      <w:r>
        <w:t xml:space="preserve">and can be downloaded on request.</w:t>
      </w:r>
    </w:p>
    <w:bookmarkEnd w:id="207"/>
    <w:bookmarkStart w:id="210" w:name="d-slicer-extraction"/>
    <w:p>
      <w:pPr>
        <w:pStyle w:val="Heading4"/>
      </w:pPr>
      <w:r>
        <w:t xml:space="preserve">3D Slicer; Extraction</w:t>
      </w:r>
    </w:p>
    <w:p>
      <w:pPr>
        <w:pStyle w:val="FirstParagraph"/>
      </w:pPr>
      <w:r>
        <w:t xml:space="preserve">The Python script we used to resample curves is found</w:t>
      </w:r>
      <w:r>
        <w:t xml:space="preserve"> </w:t>
      </w:r>
      <w:hyperlink r:id="rId208">
        <w:r>
          <w:rPr>
            <w:rStyle w:val="Hyperlink"/>
          </w:rPr>
          <w:t xml:space="preserve">online on GitHub</w:t>
        </w:r>
      </w:hyperlink>
      <w:r>
        <w:t xml:space="preserve">.</w:t>
      </w:r>
      <w:r>
        <w:t xml:space="preserve"> </w:t>
      </w:r>
      <w:r>
        <w:t xml:space="preserve">The result of the resampling is also available</w:t>
      </w:r>
      <w:r>
        <w:t xml:space="preserve"> </w:t>
      </w:r>
      <w:hyperlink r:id="rId209">
        <w:r>
          <w:rPr>
            <w:rStyle w:val="Hyperlink"/>
          </w:rPr>
          <w:t xml:space="preserve">online</w:t>
        </w:r>
      </w:hyperlink>
      <w:r>
        <w:t xml:space="preserve">.</w:t>
      </w:r>
    </w:p>
    <w:bookmarkEnd w:id="210"/>
    <w:bookmarkStart w:id="212" w:name="r-morphometrics"/>
    <w:p>
      <w:pPr>
        <w:pStyle w:val="Heading4"/>
      </w:pPr>
      <w:r>
        <w:t xml:space="preserve">R; Morphometrics</w:t>
      </w:r>
    </w:p>
    <w:p>
      <w:pPr>
        <w:pStyle w:val="FirstParagraph"/>
      </w:pPr>
      <w:r>
        <w:t xml:space="preserve">The R script we used to assess the morphometrics is available</w:t>
      </w:r>
      <w:r>
        <w:t xml:space="preserve"> </w:t>
      </w:r>
      <w:hyperlink r:id="rId211">
        <w:r>
          <w:rPr>
            <w:rStyle w:val="Hyperlink"/>
          </w:rPr>
          <w:t xml:space="preserve">online on GitHub</w:t>
        </w:r>
      </w:hyperlink>
      <w:r>
        <w:t xml:space="preserve">.</w:t>
      </w:r>
    </w:p>
    <w:bookmarkEnd w:id="212"/>
    <w:bookmarkEnd w:id="213"/>
    <w:bookmarkEnd w:id="214"/>
    <w:bookmarkStart w:id="294" w:name="references"/>
    <w:p>
      <w:pPr>
        <w:pStyle w:val="Heading2"/>
      </w:pPr>
      <w:r>
        <w:t xml:space="preserve">References</w:t>
      </w:r>
    </w:p>
    <w:bookmarkStart w:id="293" w:name="refs"/>
    <w:bookmarkStart w:id="216" w:name="ref-11ofsO2hq"/>
    <w:p>
      <w:pPr>
        <w:pStyle w:val="Bibliography"/>
      </w:pPr>
      <w:r>
        <w:t xml:space="preserve">(n.d.).</w:t>
      </w:r>
      <w:r>
        <w:t xml:space="preserve"> </w:t>
      </w:r>
      <w:r>
        <w:rPr>
          <w:iCs/>
          <w:i/>
        </w:rPr>
        <w:t xml:space="preserve">ANSI/NISO Z39.104-2022, CRediT, Contributor Roles Taxonomy</w:t>
      </w:r>
      <w:r>
        <w:t xml:space="preserve">. NISO.</w:t>
      </w:r>
      <w:r>
        <w:t xml:space="preserve"> </w:t>
      </w:r>
      <w:hyperlink r:id="rId215">
        <w:r>
          <w:rPr>
            <w:rStyle w:val="Hyperlink"/>
          </w:rPr>
          <w:t xml:space="preserve">https://doi.org/10.3789/ansi.niso.z39.104-2022</w:t>
        </w:r>
      </w:hyperlink>
    </w:p>
    <w:bookmarkEnd w:id="216"/>
    <w:bookmarkStart w:id="218" w:name="ref-vVigKiE"/>
    <w:p>
      <w:pPr>
        <w:pStyle w:val="Bibliography"/>
      </w:pPr>
      <w:r>
        <w:t xml:space="preserve">Adams, D., Collyer, M., Kaliontzopoulou, A., &amp; Baken, E. (2012). geomorph: Geometric Morphometric Analyses of 2D and 3D Landmark Data [Data set]. In</w:t>
      </w:r>
      <w:r>
        <w:t xml:space="preserve"> </w:t>
      </w:r>
      <w:r>
        <w:rPr>
          <w:iCs/>
          <w:i/>
        </w:rPr>
        <w:t xml:space="preserve">CRAN: Contributed Packages</w:t>
      </w:r>
      <w:r>
        <w:t xml:space="preserve">. The R Foundation.</w:t>
      </w:r>
      <w:r>
        <w:t xml:space="preserve"> </w:t>
      </w:r>
      <w:hyperlink r:id="rId217">
        <w:r>
          <w:rPr>
            <w:rStyle w:val="Hyperlink"/>
          </w:rPr>
          <w:t xml:space="preserve">https://doi.org/10.32614/cran.package.geomorph</w:t>
        </w:r>
      </w:hyperlink>
    </w:p>
    <w:bookmarkEnd w:id="218"/>
    <w:bookmarkStart w:id="220" w:name="ref-VqeoLfLl"/>
    <w:p>
      <w:pPr>
        <w:pStyle w:val="Bibliography"/>
      </w:pPr>
      <w:r>
        <w:t xml:space="preserve">Archambeault, S. L., Bärtschi, L. R., Merminod, A. D., &amp; Peichel, C. L. (2020). Adaptation via pleiotropy and linkage: Association mapping reveals a complex genetic architecture within the stickleback&lt;i&gt;Eda&lt;/i&gt;locus.</w:t>
      </w:r>
      <w:r>
        <w:t xml:space="preserve"> </w:t>
      </w:r>
      <w:r>
        <w:rPr>
          <w:iCs/>
          <w:i/>
        </w:rPr>
        <w:t xml:space="preserve">Evolution Letters</w:t>
      </w:r>
      <w:r>
        <w:t xml:space="preserve">,</w:t>
      </w:r>
      <w:r>
        <w:t xml:space="preserve"> </w:t>
      </w:r>
      <w:r>
        <w:rPr>
          <w:iCs/>
          <w:i/>
        </w:rPr>
        <w:t xml:space="preserve">4</w:t>
      </w:r>
      <w:r>
        <w:t xml:space="preserve">(4), 282–301.</w:t>
      </w:r>
      <w:r>
        <w:t xml:space="preserve"> </w:t>
      </w:r>
      <w:hyperlink r:id="rId219">
        <w:r>
          <w:rPr>
            <w:rStyle w:val="Hyperlink"/>
          </w:rPr>
          <w:t xml:space="preserve">https://doi.org/10.1002/evl3.175</w:t>
        </w:r>
      </w:hyperlink>
    </w:p>
    <w:bookmarkEnd w:id="220"/>
    <w:bookmarkStart w:id="222" w:name="ref-100JsQfhF"/>
    <w:p>
      <w:pPr>
        <w:pStyle w:val="Bibliography"/>
      </w:pPr>
      <w:r>
        <w:t xml:space="preserve">Baken, E. K., Collyer, M. L., Kaliontzopoulou, A., &amp; Adams, D. C. (2021). geomorph v4.0 and gmShiny: Enhanced analytics and a new graphical interface for a comprehensive morphometric experience.</w:t>
      </w:r>
      <w:r>
        <w:t xml:space="preserve"> </w:t>
      </w:r>
      <w:r>
        <w:rPr>
          <w:iCs/>
          <w:i/>
        </w:rPr>
        <w:t xml:space="preserve">Methods in Ecology and Evolution</w:t>
      </w:r>
      <w:r>
        <w:t xml:space="preserve">,</w:t>
      </w:r>
      <w:r>
        <w:t xml:space="preserve"> </w:t>
      </w:r>
      <w:r>
        <w:rPr>
          <w:iCs/>
          <w:i/>
        </w:rPr>
        <w:t xml:space="preserve">12</w:t>
      </w:r>
      <w:r>
        <w:t xml:space="preserve">(12), 2355–2363.</w:t>
      </w:r>
      <w:r>
        <w:t xml:space="preserve"> </w:t>
      </w:r>
      <w:hyperlink r:id="rId221">
        <w:r>
          <w:rPr>
            <w:rStyle w:val="Hyperlink"/>
          </w:rPr>
          <w:t xml:space="preserve">https://doi.org/10.1111/2041-210x.13723</w:t>
        </w:r>
      </w:hyperlink>
    </w:p>
    <w:bookmarkEnd w:id="222"/>
    <w:bookmarkStart w:id="224" w:name="ref-G9fXCoFb"/>
    <w:p>
      <w:pPr>
        <w:pStyle w:val="Bibliography"/>
      </w:pPr>
      <w:r>
        <w:t xml:space="preserve">Bell, M. A., &amp; Foster, S. a. (Eds.). (1994).</w:t>
      </w:r>
      <w:r>
        <w:t xml:space="preserve"> </w:t>
      </w:r>
      <w:r>
        <w:rPr>
          <w:iCs/>
          <w:i/>
        </w:rPr>
        <w:t xml:space="preserve">The Evolutionary Biology of the Threespine Stickleback</w:t>
      </w:r>
      <w:r>
        <w:t xml:space="preserve">. Oxford University PressOxford.</w:t>
      </w:r>
      <w:r>
        <w:t xml:space="preserve"> </w:t>
      </w:r>
      <w:hyperlink r:id="rId223">
        <w:r>
          <w:rPr>
            <w:rStyle w:val="Hyperlink"/>
          </w:rPr>
          <w:t xml:space="preserve">https://doi.org/10.1093/oso/9780198577287.001.0001</w:t>
        </w:r>
      </w:hyperlink>
    </w:p>
    <w:bookmarkEnd w:id="224"/>
    <w:bookmarkStart w:id="226" w:name="ref-10CsDLwDV"/>
    <w:p>
      <w:pPr>
        <w:pStyle w:val="Bibliography"/>
      </w:pPr>
      <w:r>
        <w:t xml:space="preserve">BERNER, D., ADAMS, D. C., GRANDCHAMP, A. ‐C., &amp; HENDRY, A. P. (2008). Natural selection drives patterns of lake–stream divergence in stickleback foraging morphology.</w:t>
      </w:r>
      <w:r>
        <w:t xml:space="preserve"> </w:t>
      </w:r>
      <w:r>
        <w:rPr>
          <w:iCs/>
          <w:i/>
        </w:rPr>
        <w:t xml:space="preserve">Journal of Evolutionary Biology</w:t>
      </w:r>
      <w:r>
        <w:t xml:space="preserve">,</w:t>
      </w:r>
      <w:r>
        <w:t xml:space="preserve"> </w:t>
      </w:r>
      <w:r>
        <w:rPr>
          <w:iCs/>
          <w:i/>
        </w:rPr>
        <w:t xml:space="preserve">21</w:t>
      </w:r>
      <w:r>
        <w:t xml:space="preserve">(6), 1653–1665.</w:t>
      </w:r>
      <w:r>
        <w:t xml:space="preserve"> </w:t>
      </w:r>
      <w:hyperlink r:id="rId225">
        <w:r>
          <w:rPr>
            <w:rStyle w:val="Hyperlink"/>
          </w:rPr>
          <w:t xml:space="preserve">https://doi.org/10.1111/j.1420-9101.2008.01583.x</w:t>
        </w:r>
      </w:hyperlink>
    </w:p>
    <w:bookmarkEnd w:id="226"/>
    <w:bookmarkStart w:id="228" w:name="ref-15G56iHS9"/>
    <w:p>
      <w:pPr>
        <w:pStyle w:val="Bibliography"/>
      </w:pPr>
      <w:r>
        <w:t xml:space="preserve">Brooks, H., Haines, G. E., Lin, M. C., &amp; Sanderson, S. L. (2018). Physical modeling of vortical cross-step flow in the American paddlefish, Polyodon spathula.</w:t>
      </w:r>
      <w:r>
        <w:t xml:space="preserve"> </w:t>
      </w:r>
      <w:r>
        <w:rPr>
          <w:iCs/>
          <w:i/>
        </w:rPr>
        <w:t xml:space="preserve">PLOS ONE</w:t>
      </w:r>
      <w:r>
        <w:t xml:space="preserve">,</w:t>
      </w:r>
      <w:r>
        <w:t xml:space="preserve"> </w:t>
      </w:r>
      <w:r>
        <w:rPr>
          <w:iCs/>
          <w:i/>
        </w:rPr>
        <w:t xml:space="preserve">13</w:t>
      </w:r>
      <w:r>
        <w:t xml:space="preserve">(3), e0193874.</w:t>
      </w:r>
      <w:r>
        <w:t xml:space="preserve"> </w:t>
      </w:r>
      <w:hyperlink r:id="rId227">
        <w:r>
          <w:rPr>
            <w:rStyle w:val="Hyperlink"/>
          </w:rPr>
          <w:t xml:space="preserve">https://doi.org/10.1371/journal.pone.0193874</w:t>
        </w:r>
      </w:hyperlink>
    </w:p>
    <w:bookmarkEnd w:id="228"/>
    <w:bookmarkStart w:id="230" w:name="ref-VPUOQA2P"/>
    <w:p>
      <w:pPr>
        <w:pStyle w:val="Bibliography"/>
      </w:pPr>
      <w:r>
        <w:t xml:space="preserve">Collyer, M. L., &amp; Adams, D. C. (2018). RRPP: An</w:t>
      </w:r>
      <w:r>
        <w:t xml:space="preserve"> </w:t>
      </w:r>
      <w:r>
        <w:t xml:space="preserve">&lt;scp&gt;r&lt;/scp&gt;</w:t>
      </w:r>
      <w:r>
        <w:t xml:space="preserve"> </w:t>
      </w:r>
      <w:r>
        <w:t xml:space="preserve">package for fitting linear models to high‐dimensional data using residual randomization.</w:t>
      </w:r>
      <w:r>
        <w:t xml:space="preserve"> </w:t>
      </w:r>
      <w:r>
        <w:rPr>
          <w:iCs/>
          <w:i/>
        </w:rPr>
        <w:t xml:space="preserve">Methods in Ecology and Evolution</w:t>
      </w:r>
      <w:r>
        <w:t xml:space="preserve">,</w:t>
      </w:r>
      <w:r>
        <w:t xml:space="preserve"> </w:t>
      </w:r>
      <w:r>
        <w:rPr>
          <w:iCs/>
          <w:i/>
        </w:rPr>
        <w:t xml:space="preserve">9</w:t>
      </w:r>
      <w:r>
        <w:t xml:space="preserve">(7), 1772–1779.</w:t>
      </w:r>
      <w:r>
        <w:t xml:space="preserve"> </w:t>
      </w:r>
      <w:hyperlink r:id="rId229">
        <w:r>
          <w:rPr>
            <w:rStyle w:val="Hyperlink"/>
          </w:rPr>
          <w:t xml:space="preserve">https://doi.org/10.1111/2041-210x.13029</w:t>
        </w:r>
      </w:hyperlink>
    </w:p>
    <w:bookmarkEnd w:id="230"/>
    <w:bookmarkStart w:id="232" w:name="ref-1FNzpGn6o"/>
    <w:p>
      <w:pPr>
        <w:pStyle w:val="Bibliography"/>
      </w:pPr>
      <w:r>
        <w:t xml:space="preserve">Collyer, M., &amp; Adams, D. (2018). RRPP: Linear Model Evaluation with Randomized Residuals in a Permutation Procedure [Data set]. In</w:t>
      </w:r>
      <w:r>
        <w:t xml:space="preserve"> </w:t>
      </w:r>
      <w:r>
        <w:rPr>
          <w:iCs/>
          <w:i/>
        </w:rPr>
        <w:t xml:space="preserve">CRAN: Contributed Packages</w:t>
      </w:r>
      <w:r>
        <w:t xml:space="preserve">. The R Foundation.</w:t>
      </w:r>
      <w:r>
        <w:t xml:space="preserve"> </w:t>
      </w:r>
      <w:hyperlink r:id="rId231">
        <w:r>
          <w:rPr>
            <w:rStyle w:val="Hyperlink"/>
          </w:rPr>
          <w:t xml:space="preserve">https://doi.org/10.32614/cran.package.rrpp</w:t>
        </w:r>
      </w:hyperlink>
    </w:p>
    <w:bookmarkEnd w:id="232"/>
    <w:bookmarkStart w:id="234" w:name="ref-hj1CnyWB"/>
    <w:p>
      <w:pPr>
        <w:pStyle w:val="Bibliography"/>
      </w:pPr>
      <w:r>
        <w:t xml:space="preserve">Dask Development Team. (2016).</w:t>
      </w:r>
      <w:r>
        <w:t xml:space="preserve"> </w:t>
      </w:r>
      <w:r>
        <w:rPr>
          <w:iCs/>
          <w:i/>
        </w:rPr>
        <w:t xml:space="preserve">Dask: Library for dynamic task scheduling</w:t>
      </w:r>
      <w:r>
        <w:t xml:space="preserve">.</w:t>
      </w:r>
      <w:r>
        <w:t xml:space="preserve"> </w:t>
      </w:r>
      <w:hyperlink r:id="rId233">
        <w:r>
          <w:rPr>
            <w:rStyle w:val="Hyperlink"/>
          </w:rPr>
          <w:t xml:space="preserve">https://dask.org</w:t>
        </w:r>
      </w:hyperlink>
    </w:p>
    <w:bookmarkEnd w:id="234"/>
    <w:bookmarkStart w:id="236" w:name="ref-4vi5Vvpx"/>
    <w:p>
      <w:pPr>
        <w:pStyle w:val="Bibliography"/>
      </w:pPr>
      <w:r>
        <w:t xml:space="preserve">David Haberthür. (2026).</w:t>
      </w:r>
      <w:r>
        <w:t xml:space="preserve"> </w:t>
      </w:r>
      <w:r>
        <w:rPr>
          <w:iCs/>
          <w:i/>
        </w:rPr>
        <w:t xml:space="preserve">habi/sticklebacks: Maintenance release</w:t>
      </w:r>
      <w:r>
        <w:t xml:space="preserve"> </w:t>
      </w:r>
      <w:r>
        <w:t xml:space="preserve">(Version 0.99) [Computer software]. Zenodo.</w:t>
      </w:r>
      <w:r>
        <w:t xml:space="preserve"> </w:t>
      </w:r>
      <w:hyperlink r:id="rId235">
        <w:r>
          <w:rPr>
            <w:rStyle w:val="Hyperlink"/>
          </w:rPr>
          <w:t xml:space="preserve">https://doi.org/10.5281/zenodo.18257528</w:t>
        </w:r>
      </w:hyperlink>
    </w:p>
    <w:bookmarkEnd w:id="236"/>
    <w:bookmarkStart w:id="238" w:name="ref-11i8vzpUp"/>
    <w:p>
      <w:pPr>
        <w:pStyle w:val="Bibliography"/>
      </w:pPr>
      <w:r>
        <w:t xml:space="preserve">Eckert, L., Bolnick, D. I., Derry, A. M., Haines, G. E., Heckley, A. M., Lind, Å. J., Peichel, C. L., Roth, A. M., Steinel, N. C., Vlahiotis, K., Weber, J. N., Hendry, A. P., &amp; Barrett, R. D. H. (2026).</w:t>
      </w:r>
      <w:r>
        <w:t xml:space="preserve"> </w:t>
      </w:r>
      <w:r>
        <w:rPr>
          <w:iCs/>
          <w:i/>
        </w:rPr>
        <w:t xml:space="preserve">Intrinsic fitness differences outweigh environmental matching in shaping introduction outcomes in nature</w:t>
      </w:r>
      <w:r>
        <w:t xml:space="preserve">. openRxiv.</w:t>
      </w:r>
      <w:r>
        <w:t xml:space="preserve"> </w:t>
      </w:r>
      <w:hyperlink r:id="rId237">
        <w:r>
          <w:rPr>
            <w:rStyle w:val="Hyperlink"/>
          </w:rPr>
          <w:t xml:space="preserve">https://doi.org/10.64898/2026.02.04.699496</w:t>
        </w:r>
      </w:hyperlink>
    </w:p>
    <w:bookmarkEnd w:id="238"/>
    <w:bookmarkStart w:id="240" w:name="ref-RdhjaIDe"/>
    <w:p>
      <w:pPr>
        <w:pStyle w:val="Bibliography"/>
      </w:pPr>
      <w:r>
        <w:t xml:space="preserve">Ellis, N. A., &amp; Miller, C. T. (2016). Dissection and Flat-mounting of the Threespine Stickleback Branchial Skeleton.</w:t>
      </w:r>
      <w:r>
        <w:t xml:space="preserve"> </w:t>
      </w:r>
      <w:r>
        <w:rPr>
          <w:iCs/>
          <w:i/>
        </w:rPr>
        <w:t xml:space="preserve">Journal of Visualized Experiments</w:t>
      </w:r>
      <w:r>
        <w:t xml:space="preserve">, (111).</w:t>
      </w:r>
      <w:r>
        <w:t xml:space="preserve"> </w:t>
      </w:r>
      <w:hyperlink r:id="rId239">
        <w:r>
          <w:rPr>
            <w:rStyle w:val="Hyperlink"/>
          </w:rPr>
          <w:t xml:space="preserve">https://doi.org/10.3791/54056</w:t>
        </w:r>
      </w:hyperlink>
    </w:p>
    <w:bookmarkEnd w:id="240"/>
    <w:bookmarkStart w:id="242" w:name="ref-19h9vxsYG"/>
    <w:p>
      <w:pPr>
        <w:pStyle w:val="Bibliography"/>
      </w:pPr>
      <w:r>
        <w:t xml:space="preserve">Ford, K. L., Albert, J. S., Summers, A. P., Hedrick, B. P., Schachner, E. R., Jones, A. S., Evans, K., &amp; Chakrabarty, P. (2023). A New Era of Morphological Investigations: Reviewing Methods for Comparative Anatomical Studies.</w:t>
      </w:r>
      <w:r>
        <w:t xml:space="preserve"> </w:t>
      </w:r>
      <w:r>
        <w:rPr>
          <w:iCs/>
          <w:i/>
        </w:rPr>
        <w:t xml:space="preserve">Integrative Organismal Biology</w:t>
      </w:r>
      <w:r>
        <w:t xml:space="preserve">,</w:t>
      </w:r>
      <w:r>
        <w:t xml:space="preserve"> </w:t>
      </w:r>
      <w:r>
        <w:rPr>
          <w:iCs/>
          <w:i/>
        </w:rPr>
        <w:t xml:space="preserve">5</w:t>
      </w:r>
      <w:r>
        <w:t xml:space="preserve">(1).</w:t>
      </w:r>
      <w:r>
        <w:t xml:space="preserve"> </w:t>
      </w:r>
      <w:hyperlink r:id="rId241">
        <w:r>
          <w:rPr>
            <w:rStyle w:val="Hyperlink"/>
          </w:rPr>
          <w:t xml:space="preserve">https://doi.org/10.1093/iob/obad008</w:t>
        </w:r>
      </w:hyperlink>
    </w:p>
    <w:bookmarkEnd w:id="242"/>
    <w:bookmarkStart w:id="244" w:name="ref-115PPSuQp"/>
    <w:p>
      <w:pPr>
        <w:pStyle w:val="Bibliography"/>
      </w:pPr>
      <w:r>
        <w:t xml:space="preserve">Haberthür, D. (2019).</w:t>
      </w:r>
      <w:r>
        <w:t xml:space="preserve"> </w:t>
      </w:r>
      <w:r>
        <w:rPr>
          <w:iCs/>
          <w:i/>
        </w:rPr>
        <w:t xml:space="preserve">TomoGraphics/Hol3Drs: A release</w:t>
      </w:r>
      <w:r>
        <w:t xml:space="preserve"> </w:t>
      </w:r>
      <w:r>
        <w:t xml:space="preserve">(Version v0.618) [Computer software]. Zenodo.</w:t>
      </w:r>
      <w:r>
        <w:t xml:space="preserve"> </w:t>
      </w:r>
      <w:hyperlink r:id="rId243">
        <w:r>
          <w:rPr>
            <w:rStyle w:val="Hyperlink"/>
          </w:rPr>
          <w:t xml:space="preserve">https://doi.org/10.5281/zenodo.2587555</w:t>
        </w:r>
      </w:hyperlink>
    </w:p>
    <w:bookmarkEnd w:id="244"/>
    <w:bookmarkStart w:id="246" w:name="ref-a5G6tHdh"/>
    <w:p>
      <w:pPr>
        <w:pStyle w:val="Bibliography"/>
      </w:pPr>
      <w:r>
        <w:t xml:space="preserve">Haines, G. E., Stuart, Y. E., Hanson, D., Tasneem, T., Bolnick, D. I., Larsson, H. C. E., &amp; Hendry, A. P. (2020). Adding the third dimension to studies of parallel evolution of morphology and function: An exploration based on parapatric lake‐stream stickleback.</w:t>
      </w:r>
      <w:r>
        <w:t xml:space="preserve"> </w:t>
      </w:r>
      <w:r>
        <w:rPr>
          <w:iCs/>
          <w:i/>
        </w:rPr>
        <w:t xml:space="preserve">Ecology and Evolution</w:t>
      </w:r>
      <w:r>
        <w:t xml:space="preserve">,</w:t>
      </w:r>
      <w:r>
        <w:t xml:space="preserve"> </w:t>
      </w:r>
      <w:r>
        <w:rPr>
          <w:iCs/>
          <w:i/>
        </w:rPr>
        <w:t xml:space="preserve">10</w:t>
      </w:r>
      <w:r>
        <w:t xml:space="preserve">(23), 13297–13311.</w:t>
      </w:r>
      <w:r>
        <w:t xml:space="preserve"> </w:t>
      </w:r>
      <w:hyperlink r:id="rId245">
        <w:r>
          <w:rPr>
            <w:rStyle w:val="Hyperlink"/>
          </w:rPr>
          <w:t xml:space="preserve">https://doi.org/10.1002/ece3.6929</w:t>
        </w:r>
      </w:hyperlink>
    </w:p>
    <w:bookmarkEnd w:id="246"/>
    <w:bookmarkStart w:id="248" w:name="ref-11BPceIkC"/>
    <w:p>
      <w:pPr>
        <w:pStyle w:val="Bibliography"/>
      </w:pPr>
      <w:r>
        <w:t xml:space="preserve">Hendry, A. P., Barrett, R. D. H., Bell, A. M., Bell, M. A., Bolnick, D. I., Gotanda, K. M., Haines, G. E., Lind, Å. J., Packer, M., Peichel, C. L., Peterson, C. R., Poore, H. A., Massengill, R. L., Milligan‐McClellan, K., Steinel, N. C., Sanderson, S., Walsh, M. R., Weber, J. N., &amp; Derry, A. M. (2024). Designing eco‐evolutionary experiments for restoration projects: Opportunities and constraints revealed during stickleback introductions.</w:t>
      </w:r>
      <w:r>
        <w:t xml:space="preserve"> </w:t>
      </w:r>
      <w:r>
        <w:rPr>
          <w:iCs/>
          <w:i/>
        </w:rPr>
        <w:t xml:space="preserve">Ecology and Evolution</w:t>
      </w:r>
      <w:r>
        <w:t xml:space="preserve">,</w:t>
      </w:r>
      <w:r>
        <w:t xml:space="preserve"> </w:t>
      </w:r>
      <w:r>
        <w:rPr>
          <w:iCs/>
          <w:i/>
        </w:rPr>
        <w:t xml:space="preserve">14</w:t>
      </w:r>
      <w:r>
        <w:t xml:space="preserve">(6).</w:t>
      </w:r>
      <w:r>
        <w:t xml:space="preserve"> </w:t>
      </w:r>
      <w:hyperlink r:id="rId247">
        <w:r>
          <w:rPr>
            <w:rStyle w:val="Hyperlink"/>
          </w:rPr>
          <w:t xml:space="preserve">https://doi.org/10.1002/ece3.11503</w:t>
        </w:r>
      </w:hyperlink>
    </w:p>
    <w:bookmarkEnd w:id="248"/>
    <w:bookmarkStart w:id="250" w:name="ref-XOyztXvb"/>
    <w:p>
      <w:pPr>
        <w:pStyle w:val="Bibliography"/>
      </w:pPr>
      <w:r>
        <w:t xml:space="preserve">Hendry, A. P., Bolnick, D. I., Berner, D., &amp; Peichel, C. L. (2009). Along the speciation continuum in sticklebacks.</w:t>
      </w:r>
      <w:r>
        <w:t xml:space="preserve"> </w:t>
      </w:r>
      <w:r>
        <w:rPr>
          <w:iCs/>
          <w:i/>
        </w:rPr>
        <w:t xml:space="preserve">Journal of Fish Biology</w:t>
      </w:r>
      <w:r>
        <w:t xml:space="preserve">,</w:t>
      </w:r>
      <w:r>
        <w:t xml:space="preserve"> </w:t>
      </w:r>
      <w:r>
        <w:rPr>
          <w:iCs/>
          <w:i/>
        </w:rPr>
        <w:t xml:space="preserve">75</w:t>
      </w:r>
      <w:r>
        <w:t xml:space="preserve">(8), 2000–2036.</w:t>
      </w:r>
      <w:r>
        <w:t xml:space="preserve"> </w:t>
      </w:r>
      <w:hyperlink r:id="rId249">
        <w:r>
          <w:rPr>
            <w:rStyle w:val="Hyperlink"/>
          </w:rPr>
          <w:t xml:space="preserve">https://doi.org/10.1111/j.1095-8649.2009.02419.x</w:t>
        </w:r>
      </w:hyperlink>
    </w:p>
    <w:bookmarkEnd w:id="250"/>
    <w:bookmarkStart w:id="252" w:name="ref-YuJbg3zO"/>
    <w:p>
      <w:pPr>
        <w:pStyle w:val="Bibliography"/>
      </w:pPr>
      <w:r>
        <w:t xml:space="preserve">Himmelstein, D. S., Rubinetti, V., Slochower, D. R., Hu, D., Malladi, V. S., Greene, C. S., &amp; Gitter, A. (2019). Open collaborative writing with Manubot.</w:t>
      </w:r>
      <w:r>
        <w:t xml:space="preserve"> </w:t>
      </w:r>
      <w:r>
        <w:rPr>
          <w:iCs/>
          <w:i/>
        </w:rPr>
        <w:t xml:space="preserve">PLOS Computational Biology</w:t>
      </w:r>
      <w:r>
        <w:t xml:space="preserve">,</w:t>
      </w:r>
      <w:r>
        <w:t xml:space="preserve"> </w:t>
      </w:r>
      <w:r>
        <w:rPr>
          <w:iCs/>
          <w:i/>
        </w:rPr>
        <w:t xml:space="preserve">15</w:t>
      </w:r>
      <w:r>
        <w:t xml:space="preserve">(6), e1007128.</w:t>
      </w:r>
      <w:r>
        <w:t xml:space="preserve"> </w:t>
      </w:r>
      <w:hyperlink r:id="rId251">
        <w:r>
          <w:rPr>
            <w:rStyle w:val="Hyperlink"/>
          </w:rPr>
          <w:t xml:space="preserve">https://doi.org/10.1371/journal.pcbi.1007128</w:t>
        </w:r>
      </w:hyperlink>
    </w:p>
    <w:bookmarkEnd w:id="252"/>
    <w:bookmarkStart w:id="254" w:name="ref-EsDua5wx"/>
    <w:p>
      <w:pPr>
        <w:pStyle w:val="Bibliography"/>
      </w:pPr>
      <w:r>
        <w:t xml:space="preserve">Kikinis, R., Pieper, S. D., &amp; Vosburgh, K. G. (2013). 3D Slicer: A Platform for Subject-Specific Image Analysis, Visualization, and Clinical Support. In</w:t>
      </w:r>
      <w:r>
        <w:t xml:space="preserve"> </w:t>
      </w:r>
      <w:r>
        <w:rPr>
          <w:iCs/>
          <w:i/>
        </w:rPr>
        <w:t xml:space="preserve">Intraoperative Imaging and Image-Guided Therapy</w:t>
      </w:r>
      <w:r>
        <w:t xml:space="preserve"> </w:t>
      </w:r>
      <w:r>
        <w:t xml:space="preserve">(pp. 277–289). Springer New York.</w:t>
      </w:r>
      <w:r>
        <w:t xml:space="preserve"> </w:t>
      </w:r>
      <w:hyperlink r:id="rId253">
        <w:r>
          <w:rPr>
            <w:rStyle w:val="Hyperlink"/>
          </w:rPr>
          <w:t xml:space="preserve">https://doi.org/10.1007/978-1-4614-7657-3_19</w:t>
        </w:r>
      </w:hyperlink>
    </w:p>
    <w:bookmarkEnd w:id="254"/>
    <w:bookmarkStart w:id="256" w:name="ref-1Bh7g5XAe"/>
    <w:p>
      <w:pPr>
        <w:pStyle w:val="Bibliography"/>
      </w:pPr>
      <w:r>
        <w:t xml:space="preserve">Kluyver Thomas, Ragan-Kelley Benjamin, P&amp;eacute;rez Fernando, Granger Brian, Bussonnier Matthias, Frederic Jonathan, Kelley Kyle, Hamrick Jessica, Grout Jason, Corlay Sylvain, Ivanov Paul, Avila Dami&amp;aacute;n, Abdalla Safia, Willing Carol, &amp; Jupyter Development Team. (2016). Jupyter Notebooks &amp;amp;ndash; a publishing format for reproducible computational workflows. In</w:t>
      </w:r>
      <w:r>
        <w:t xml:space="preserve"> </w:t>
      </w:r>
      <w:r>
        <w:rPr>
          <w:iCs/>
          <w:i/>
        </w:rPr>
        <w:t xml:space="preserve">Positioning and Power in Academic Publishing: Players, Agents and Agendas</w:t>
      </w:r>
      <w:r>
        <w:t xml:space="preserve">. IOS Press.</w:t>
      </w:r>
      <w:r>
        <w:t xml:space="preserve"> </w:t>
      </w:r>
      <w:hyperlink r:id="rId255">
        <w:r>
          <w:rPr>
            <w:rStyle w:val="Hyperlink"/>
          </w:rPr>
          <w:t xml:space="preserve">https://doi.org/10.3233/978-1-61499-649-1-87</w:t>
        </w:r>
      </w:hyperlink>
    </w:p>
    <w:bookmarkEnd w:id="256"/>
    <w:bookmarkStart w:id="258" w:name="ref-jHalJ9Zw"/>
    <w:p>
      <w:pPr>
        <w:pStyle w:val="Bibliography"/>
      </w:pPr>
      <w:r>
        <w:t xml:space="preserve">Lösel, P. D., van de Kamp, T., Jayme, A., Ershov, A., Faragó, T., Pichler, O., Tan Jerome, N., Aadepu, N., Bremer, S., Chilingaryan, S. A., Heethoff, M., Kopmann, A., Odar, J., Schmelzle, S., Zuber, M., Wittbrodt, J., Baumbach, T., &amp; Heuveline, V. (2020). Introducing Biomedisa as an open-source online platform for biomedical image segmentation.</w:t>
      </w:r>
      <w:r>
        <w:t xml:space="preserve"> </w:t>
      </w:r>
      <w:r>
        <w:rPr>
          <w:iCs/>
          <w:i/>
        </w:rPr>
        <w:t xml:space="preserve">Nature Communications</w:t>
      </w:r>
      <w:r>
        <w:t xml:space="preserve">,</w:t>
      </w:r>
      <w:r>
        <w:t xml:space="preserve"> </w:t>
      </w:r>
      <w:r>
        <w:rPr>
          <w:iCs/>
          <w:i/>
        </w:rPr>
        <w:t xml:space="preserve">11</w:t>
      </w:r>
      <w:r>
        <w:t xml:space="preserve">(1).</w:t>
      </w:r>
      <w:r>
        <w:t xml:space="preserve"> </w:t>
      </w:r>
      <w:hyperlink r:id="rId257">
        <w:r>
          <w:rPr>
            <w:rStyle w:val="Hyperlink"/>
          </w:rPr>
          <w:t xml:space="preserve">https://doi.org/10.1038/s41467-020-19303-w</w:t>
        </w:r>
      </w:hyperlink>
    </w:p>
    <w:bookmarkEnd w:id="258"/>
    <w:bookmarkStart w:id="260" w:name="ref-ZUWTpAJ8"/>
    <w:p>
      <w:pPr>
        <w:pStyle w:val="Bibliography"/>
      </w:pPr>
      <w:r>
        <w:t xml:space="preserve">McGee, M. D., Schluter, D., &amp; Wainwright, P. C. (2013). Functional basis of ecological divergence in sympatric stickleback.</w:t>
      </w:r>
      <w:r>
        <w:t xml:space="preserve"> </w:t>
      </w:r>
      <w:r>
        <w:rPr>
          <w:iCs/>
          <w:i/>
        </w:rPr>
        <w:t xml:space="preserve">BMC Evolutionary Biology</w:t>
      </w:r>
      <w:r>
        <w:t xml:space="preserve">,</w:t>
      </w:r>
      <w:r>
        <w:t xml:space="preserve"> </w:t>
      </w:r>
      <w:r>
        <w:rPr>
          <w:iCs/>
          <w:i/>
        </w:rPr>
        <w:t xml:space="preserve">13</w:t>
      </w:r>
      <w:r>
        <w:t xml:space="preserve">(1), 277.</w:t>
      </w:r>
      <w:r>
        <w:t xml:space="preserve"> </w:t>
      </w:r>
      <w:hyperlink r:id="rId259">
        <w:r>
          <w:rPr>
            <w:rStyle w:val="Hyperlink"/>
          </w:rPr>
          <w:t xml:space="preserve">https://doi.org/10.1186/1471-2148-13-277</w:t>
        </w:r>
      </w:hyperlink>
    </w:p>
    <w:bookmarkEnd w:id="260"/>
    <w:bookmarkStart w:id="262" w:name="ref-ivfnBcoK"/>
    <w:p>
      <w:pPr>
        <w:pStyle w:val="Bibliography"/>
      </w:pPr>
      <w:r>
        <w:t xml:space="preserve">McGee, M. D., &amp; Wainwright, P. C. (2013). Sexual dimorphism in the feeding mechanism of threespine stickleback.</w:t>
      </w:r>
      <w:r>
        <w:t xml:space="preserve"> </w:t>
      </w:r>
      <w:r>
        <w:rPr>
          <w:iCs/>
          <w:i/>
        </w:rPr>
        <w:t xml:space="preserve">Journal of Experimental Biology</w:t>
      </w:r>
      <w:r>
        <w:t xml:space="preserve">,</w:t>
      </w:r>
      <w:r>
        <w:t xml:space="preserve"> </w:t>
      </w:r>
      <w:r>
        <w:rPr>
          <w:iCs/>
          <w:i/>
        </w:rPr>
        <w:t xml:space="preserve">216</w:t>
      </w:r>
      <w:r>
        <w:t xml:space="preserve">(5), 835–840.</w:t>
      </w:r>
      <w:r>
        <w:t xml:space="preserve"> </w:t>
      </w:r>
      <w:hyperlink r:id="rId261">
        <w:r>
          <w:rPr>
            <w:rStyle w:val="Hyperlink"/>
          </w:rPr>
          <w:t xml:space="preserve">https://doi.org/10.1242/jeb.074948</w:t>
        </w:r>
      </w:hyperlink>
    </w:p>
    <w:bookmarkEnd w:id="262"/>
    <w:bookmarkStart w:id="264" w:name="ref-uw1mZ6Yi"/>
    <w:p>
      <w:pPr>
        <w:pStyle w:val="Bibliography"/>
      </w:pPr>
      <w:r>
        <w:t xml:space="preserve">Meeker, N. D., Hutchinson, S. A., Ho, L., &amp; Trede, N. S. (2007). Method for Isolation of PCR-Ready Genomic DNA from Zebrafish Tissues.</w:t>
      </w:r>
      <w:r>
        <w:t xml:space="preserve"> </w:t>
      </w:r>
      <w:r>
        <w:rPr>
          <w:iCs/>
          <w:i/>
        </w:rPr>
        <w:t xml:space="preserve">BioTechniques</w:t>
      </w:r>
      <w:r>
        <w:t xml:space="preserve">,</w:t>
      </w:r>
      <w:r>
        <w:t xml:space="preserve"> </w:t>
      </w:r>
      <w:r>
        <w:rPr>
          <w:iCs/>
          <w:i/>
        </w:rPr>
        <w:t xml:space="preserve">43</w:t>
      </w:r>
      <w:r>
        <w:t xml:space="preserve">(5), 610–614.</w:t>
      </w:r>
      <w:r>
        <w:t xml:space="preserve"> </w:t>
      </w:r>
      <w:hyperlink r:id="rId263">
        <w:r>
          <w:rPr>
            <w:rStyle w:val="Hyperlink"/>
          </w:rPr>
          <w:t xml:space="preserve">https://doi.org/10.2144/000112619</w:t>
        </w:r>
      </w:hyperlink>
    </w:p>
    <w:bookmarkEnd w:id="264"/>
    <w:bookmarkStart w:id="266" w:name="ref-p38Gm1rT"/>
    <w:p>
      <w:pPr>
        <w:pStyle w:val="Bibliography"/>
      </w:pPr>
      <w:r>
        <w:t xml:space="preserve">Miles, A., Kirkham, J., Durant, M., Bourbeau, J., Onalan, T., Hamman, J., Zain Patel, Shikharsg, Rocklin, M., Dussin, R., Schut, V., Andrade, E. S. D., Abernathey, R., Noyes, C., Sbalmer, Pyup.Io Bot, Tran, T., Saalfeld, S., Swaney, J., … Banihirwe, A. (2020).</w:t>
      </w:r>
      <w:r>
        <w:t xml:space="preserve"> </w:t>
      </w:r>
      <w:r>
        <w:rPr>
          <w:iCs/>
          <w:i/>
        </w:rPr>
        <w:t xml:space="preserve">zarr-developers/zarr-python: v2.4.0</w:t>
      </w:r>
      <w:r>
        <w:t xml:space="preserve"> </w:t>
      </w:r>
      <w:r>
        <w:t xml:space="preserve">(Version v2.4.0) [Computer software]. Zenodo.</w:t>
      </w:r>
      <w:r>
        <w:t xml:space="preserve"> </w:t>
      </w:r>
      <w:hyperlink r:id="rId265">
        <w:r>
          <w:rPr>
            <w:rStyle w:val="Hyperlink"/>
          </w:rPr>
          <w:t xml:space="preserve">https://doi.org/10.5281/zenodo.3773450</w:t>
        </w:r>
      </w:hyperlink>
    </w:p>
    <w:bookmarkEnd w:id="266"/>
    <w:bookmarkStart w:id="268" w:name="ref-jxVw2kt2"/>
    <w:p>
      <w:pPr>
        <w:pStyle w:val="Bibliography"/>
      </w:pPr>
      <w:r>
        <w:rPr>
          <w:iCs/>
          <w:i/>
        </w:rPr>
        <w:t xml:space="preserve">Overview</w:t>
      </w:r>
      <w:r>
        <w:t xml:space="preserve">. (n.d.). K3D-Jupyter. Retrieved October 30, 2026, from</w:t>
      </w:r>
      <w:r>
        <w:t xml:space="preserve"> </w:t>
      </w:r>
      <w:hyperlink r:id="rId267">
        <w:r>
          <w:rPr>
            <w:rStyle w:val="Hyperlink"/>
          </w:rPr>
          <w:t xml:space="preserve">https://k3d-jupyter.org/index.html</w:t>
        </w:r>
      </w:hyperlink>
    </w:p>
    <w:bookmarkEnd w:id="268"/>
    <w:bookmarkStart w:id="270" w:name="ref-whEyWyQh"/>
    <w:p>
      <w:pPr>
        <w:pStyle w:val="Bibliography"/>
      </w:pPr>
      <w:r>
        <w:t xml:space="preserve">R Core Team. (2021).</w:t>
      </w:r>
      <w:r>
        <w:t xml:space="preserve"> </w:t>
      </w:r>
      <w:r>
        <w:rPr>
          <w:iCs/>
          <w:i/>
        </w:rPr>
        <w:t xml:space="preserve">R: A language and environment for statistical computing</w:t>
      </w:r>
      <w:r>
        <w:t xml:space="preserve">. R Foundation for Statistical Computing.</w:t>
      </w:r>
      <w:r>
        <w:t xml:space="preserve"> </w:t>
      </w:r>
      <w:hyperlink r:id="rId269">
        <w:r>
          <w:rPr>
            <w:rStyle w:val="Hyperlink"/>
          </w:rPr>
          <w:t xml:space="preserve">https://www.R-project.org/</w:t>
        </w:r>
      </w:hyperlink>
    </w:p>
    <w:bookmarkEnd w:id="270"/>
    <w:bookmarkStart w:id="272" w:name="ref-IKVBgaCE"/>
    <w:p>
      <w:pPr>
        <w:pStyle w:val="Bibliography"/>
      </w:pPr>
      <w:r>
        <w:t xml:space="preserve">Rawson, S. D., Maksimcuka, J., Withers, P. J., &amp; Cartmell, S. H. (2020). X-ray computed tomography in life sciences.</w:t>
      </w:r>
      <w:r>
        <w:t xml:space="preserve"> </w:t>
      </w:r>
      <w:r>
        <w:rPr>
          <w:iCs/>
          <w:i/>
        </w:rPr>
        <w:t xml:space="preserve">BMC Biology</w:t>
      </w:r>
      <w:r>
        <w:t xml:space="preserve">,</w:t>
      </w:r>
      <w:r>
        <w:t xml:space="preserve"> </w:t>
      </w:r>
      <w:r>
        <w:rPr>
          <w:iCs/>
          <w:i/>
        </w:rPr>
        <w:t xml:space="preserve">18</w:t>
      </w:r>
      <w:r>
        <w:t xml:space="preserve">(1).</w:t>
      </w:r>
      <w:r>
        <w:t xml:space="preserve"> </w:t>
      </w:r>
      <w:hyperlink r:id="rId271">
        <w:r>
          <w:rPr>
            <w:rStyle w:val="Hyperlink"/>
          </w:rPr>
          <w:t xml:space="preserve">https://doi.org/10.1186/s12915-020-0753-2</w:t>
        </w:r>
      </w:hyperlink>
    </w:p>
    <w:bookmarkEnd w:id="272"/>
    <w:bookmarkStart w:id="274" w:name="ref-tyLSEVnP"/>
    <w:p>
      <w:pPr>
        <w:pStyle w:val="Bibliography"/>
      </w:pPr>
      <w:r>
        <w:t xml:space="preserve">Reid, K., Bell, M. A., &amp; Veeramah, K. R. (2021). Threespine Stickleback: A Model System For Evolutionary Genomics.</w:t>
      </w:r>
      <w:r>
        <w:t xml:space="preserve"> </w:t>
      </w:r>
      <w:r>
        <w:rPr>
          <w:iCs/>
          <w:i/>
        </w:rPr>
        <w:t xml:space="preserve">Annual Review of Genomics and Human Genetics</w:t>
      </w:r>
      <w:r>
        <w:t xml:space="preserve">,</w:t>
      </w:r>
      <w:r>
        <w:t xml:space="preserve"> </w:t>
      </w:r>
      <w:r>
        <w:rPr>
          <w:iCs/>
          <w:i/>
        </w:rPr>
        <w:t xml:space="preserve">22</w:t>
      </w:r>
      <w:r>
        <w:t xml:space="preserve">(1), 357–383.</w:t>
      </w:r>
      <w:r>
        <w:t xml:space="preserve"> </w:t>
      </w:r>
      <w:hyperlink r:id="rId273">
        <w:r>
          <w:rPr>
            <w:rStyle w:val="Hyperlink"/>
          </w:rPr>
          <w:t xml:space="preserve">https://doi.org/10.1146/annurev-genom-111720-081402</w:t>
        </w:r>
      </w:hyperlink>
    </w:p>
    <w:bookmarkEnd w:id="274"/>
    <w:bookmarkStart w:id="276" w:name="ref-MwdN6kPV"/>
    <w:p>
      <w:pPr>
        <w:pStyle w:val="Bibliography"/>
      </w:pPr>
      <w:r>
        <w:t xml:space="preserve">Rolfe, S., Pieper, S., Porto, A., Diamond, K., Winchester, J., Shan, S., Kirveslahti, H., Boyer, D., Summers, A., &amp; Maga, A. M. (2021). SlicerMorph: An open and extensible platform to retrieve, visualize and analyse 3D morphology.</w:t>
      </w:r>
      <w:r>
        <w:t xml:space="preserve"> </w:t>
      </w:r>
      <w:r>
        <w:rPr>
          <w:iCs/>
          <w:i/>
        </w:rPr>
        <w:t xml:space="preserve">Methods in Ecology and Evolution</w:t>
      </w:r>
      <w:r>
        <w:t xml:space="preserve">,</w:t>
      </w:r>
      <w:r>
        <w:t xml:space="preserve"> </w:t>
      </w:r>
      <w:r>
        <w:rPr>
          <w:iCs/>
          <w:i/>
        </w:rPr>
        <w:t xml:space="preserve">12</w:t>
      </w:r>
      <w:r>
        <w:t xml:space="preserve">(10), 1816–1825.</w:t>
      </w:r>
      <w:r>
        <w:t xml:space="preserve"> </w:t>
      </w:r>
      <w:hyperlink r:id="rId275">
        <w:r>
          <w:rPr>
            <w:rStyle w:val="Hyperlink"/>
          </w:rPr>
          <w:t xml:space="preserve">https://doi.org/10.1111/2041-210x.13669</w:t>
        </w:r>
      </w:hyperlink>
    </w:p>
    <w:bookmarkEnd w:id="276"/>
    <w:bookmarkStart w:id="278" w:name="ref-Fkmz2cmo"/>
    <w:p>
      <w:pPr>
        <w:pStyle w:val="Bibliography"/>
      </w:pPr>
      <w:r>
        <w:t xml:space="preserve">Schindelin, J., Arganda-Carreras, I., Frise, E., Kaynig, V., Longair, M., Pietzsch, T., Preibisch, S., Rueden, C., Saalfeld, S., Schmid, B., Tinevez, J.-Y., White, D. J., Hartenstein, V., Eliceiri, K., Tomancak, P., &amp; Cardona, A. (2012). Fiji: an open-source platform for biological-image analysis.</w:t>
      </w:r>
      <w:r>
        <w:t xml:space="preserve"> </w:t>
      </w:r>
      <w:r>
        <w:rPr>
          <w:iCs/>
          <w:i/>
        </w:rPr>
        <w:t xml:space="preserve">Nature Methods</w:t>
      </w:r>
      <w:r>
        <w:t xml:space="preserve">,</w:t>
      </w:r>
      <w:r>
        <w:t xml:space="preserve"> </w:t>
      </w:r>
      <w:r>
        <w:rPr>
          <w:iCs/>
          <w:i/>
        </w:rPr>
        <w:t xml:space="preserve">9</w:t>
      </w:r>
      <w:r>
        <w:t xml:space="preserve">(7), 676–682.</w:t>
      </w:r>
      <w:r>
        <w:t xml:space="preserve"> </w:t>
      </w:r>
      <w:hyperlink r:id="rId277">
        <w:r>
          <w:rPr>
            <w:rStyle w:val="Hyperlink"/>
          </w:rPr>
          <w:t xml:space="preserve">https://doi.org/10.1038/nmeth.2019</w:t>
        </w:r>
      </w:hyperlink>
    </w:p>
    <w:bookmarkEnd w:id="278"/>
    <w:bookmarkStart w:id="280" w:name="ref-1Dlme4sp5"/>
    <w:p>
      <w:pPr>
        <w:pStyle w:val="Bibliography"/>
      </w:pPr>
      <w:r>
        <w:t xml:space="preserve">Schluter, D., &amp; McPhail, J. D. (1992). Ecological Character Displacement and Speciation in Sticklebacks.</w:t>
      </w:r>
      <w:r>
        <w:t xml:space="preserve"> </w:t>
      </w:r>
      <w:r>
        <w:rPr>
          <w:iCs/>
          <w:i/>
        </w:rPr>
        <w:t xml:space="preserve">The American Naturalist</w:t>
      </w:r>
      <w:r>
        <w:t xml:space="preserve">,</w:t>
      </w:r>
      <w:r>
        <w:t xml:space="preserve"> </w:t>
      </w:r>
      <w:r>
        <w:rPr>
          <w:iCs/>
          <w:i/>
        </w:rPr>
        <w:t xml:space="preserve">140</w:t>
      </w:r>
      <w:r>
        <w:t xml:space="preserve">(1), 85–108.</w:t>
      </w:r>
      <w:r>
        <w:t xml:space="preserve"> </w:t>
      </w:r>
      <w:hyperlink r:id="rId279">
        <w:r>
          <w:rPr>
            <w:rStyle w:val="Hyperlink"/>
          </w:rPr>
          <w:t xml:space="preserve">https://doi.org/10.1086/285404</w:t>
        </w:r>
      </w:hyperlink>
    </w:p>
    <w:bookmarkEnd w:id="280"/>
    <w:bookmarkStart w:id="282" w:name="ref-YEMgt2T4"/>
    <w:p>
      <w:pPr>
        <w:pStyle w:val="Bibliography"/>
      </w:pPr>
      <w:r>
        <w:t xml:space="preserve">Sofroniew, N., Lambert, T., Bokota, G., Nunez-Iglesias, J., Sobolewski, P., Sweet, A., Gaifas, L., Evans, K., Burt, A., Doncila Pop, D., Yamauchi, K., Weber Mendonça, M., Rodríguez-Guerra, J., Liu, L., Buckley, G., Vierdag, W.-M., Anderson, A., Monko, T., Willing, C., … Naik, S. (2026).</w:t>
      </w:r>
      <w:r>
        <w:t xml:space="preserve"> </w:t>
      </w:r>
      <w:r>
        <w:rPr>
          <w:iCs/>
          <w:i/>
        </w:rPr>
        <w:t xml:space="preserve">napari: a multi-dimensional image viewer for Python</w:t>
      </w:r>
      <w:r>
        <w:t xml:space="preserve"> </w:t>
      </w:r>
      <w:r>
        <w:t xml:space="preserve">(Version v0.9.2) [Computer software]. Zenodo.</w:t>
      </w:r>
      <w:r>
        <w:t xml:space="preserve"> </w:t>
      </w:r>
      <w:hyperlink r:id="rId281">
        <w:r>
          <w:rPr>
            <w:rStyle w:val="Hyperlink"/>
          </w:rPr>
          <w:t xml:space="preserve">https://doi.org/10.5281/zenodo.3555620</w:t>
        </w:r>
      </w:hyperlink>
    </w:p>
    <w:bookmarkEnd w:id="282"/>
    <w:bookmarkStart w:id="284" w:name="ref-1EuiurioH"/>
    <w:p>
      <w:pPr>
        <w:pStyle w:val="Bibliography"/>
      </w:pPr>
      <w:r>
        <w:t xml:space="preserve">Stratovan Corporation. (n.d.).</w:t>
      </w:r>
      <w:r>
        <w:t xml:space="preserve"> </w:t>
      </w:r>
      <w:r>
        <w:rPr>
          <w:iCs/>
          <w:i/>
        </w:rPr>
        <w:t xml:space="preserve">Stratovan checkpoint</w:t>
      </w:r>
      <w:r>
        <w:t xml:space="preserve"> </w:t>
      </w:r>
      <w:r>
        <w:t xml:space="preserve">(Version 2025.06.02.09:11 WIN x64). Retrieved</w:t>
      </w:r>
      <w:r>
        <w:t xml:space="preserve"> </w:t>
      </w:r>
      <w:hyperlink r:id="rId283">
        <w:r>
          <w:rPr>
            <w:rStyle w:val="Hyperlink"/>
          </w:rPr>
          <w:t xml:space="preserve">https://www.stratovan.com/products/checkpoint</w:t>
        </w:r>
      </w:hyperlink>
    </w:p>
    <w:bookmarkEnd w:id="284"/>
    <w:bookmarkStart w:id="286" w:name="ref-v1hRNLF5"/>
    <w:p>
      <w:pPr>
        <w:pStyle w:val="Bibliography"/>
      </w:pPr>
      <w:r>
        <w:t xml:space="preserve">Takata, Y., &amp; Sasaki, K. (2005). Branchial structures in the Gasterosteiformes, with special reference to myology and phylogenetic implications.</w:t>
      </w:r>
      <w:r>
        <w:t xml:space="preserve"> </w:t>
      </w:r>
      <w:r>
        <w:rPr>
          <w:iCs/>
          <w:i/>
        </w:rPr>
        <w:t xml:space="preserve">Ichthyological Research</w:t>
      </w:r>
      <w:r>
        <w:t xml:space="preserve">,</w:t>
      </w:r>
      <w:r>
        <w:t xml:space="preserve"> </w:t>
      </w:r>
      <w:r>
        <w:rPr>
          <w:iCs/>
          <w:i/>
        </w:rPr>
        <w:t xml:space="preserve">52</w:t>
      </w:r>
      <w:r>
        <w:t xml:space="preserve">(1), 33–49.</w:t>
      </w:r>
      <w:r>
        <w:t xml:space="preserve"> </w:t>
      </w:r>
      <w:hyperlink r:id="rId285">
        <w:r>
          <w:rPr>
            <w:rStyle w:val="Hyperlink"/>
          </w:rPr>
          <w:t xml:space="preserve">https://doi.org/10.1007/s10228-004-0251-5</w:t>
        </w:r>
      </w:hyperlink>
    </w:p>
    <w:bookmarkEnd w:id="286"/>
    <w:bookmarkStart w:id="288" w:name="ref-EWbJLKbO"/>
    <w:p>
      <w:pPr>
        <w:pStyle w:val="Bibliography"/>
      </w:pPr>
      <w:r>
        <w:t xml:space="preserve">Vandewalle, P., Parmentier, E., &amp; Chardon, M. (2000). The branchial basket in Teleost feeding.</w:t>
      </w:r>
      <w:r>
        <w:t xml:space="preserve"> </w:t>
      </w:r>
      <w:r>
        <w:rPr>
          <w:iCs/>
          <w:i/>
        </w:rPr>
        <w:t xml:space="preserve">Cybium</w:t>
      </w:r>
      <w:r>
        <w:t xml:space="preserve">,</w:t>
      </w:r>
      <w:r>
        <w:t xml:space="preserve"> </w:t>
      </w:r>
      <w:r>
        <w:rPr>
          <w:iCs/>
          <w:i/>
        </w:rPr>
        <w:t xml:space="preserve">24</w:t>
      </w:r>
      <w:r>
        <w:t xml:space="preserve">(4).</w:t>
      </w:r>
      <w:r>
        <w:t xml:space="preserve"> </w:t>
      </w:r>
      <w:hyperlink r:id="rId287">
        <w:r>
          <w:rPr>
            <w:rStyle w:val="Hyperlink"/>
          </w:rPr>
          <w:t xml:space="preserve">https://orbi.uliege.be/handle/2268/14698</w:t>
        </w:r>
      </w:hyperlink>
    </w:p>
    <w:bookmarkEnd w:id="288"/>
    <w:bookmarkStart w:id="290" w:name="ref-Tw8w7mV3"/>
    <w:p>
      <w:pPr>
        <w:pStyle w:val="Bibliography"/>
      </w:pPr>
      <w:r>
        <w:t xml:space="preserve">WILLACKER, J. J., VON HIPPEL, F. A., WILTON, P. R., &amp; WALTON, K. M. (2010). Classification of threespine stickleback along the benthic-limnetic axis.</w:t>
      </w:r>
      <w:r>
        <w:t xml:space="preserve"> </w:t>
      </w:r>
      <w:r>
        <w:rPr>
          <w:iCs/>
          <w:i/>
        </w:rPr>
        <w:t xml:space="preserve">Biological Journal of the Linnean Society</w:t>
      </w:r>
      <w:r>
        <w:t xml:space="preserve">,</w:t>
      </w:r>
      <w:r>
        <w:t xml:space="preserve"> </w:t>
      </w:r>
      <w:r>
        <w:rPr>
          <w:iCs/>
          <w:i/>
        </w:rPr>
        <w:t xml:space="preserve">101</w:t>
      </w:r>
      <w:r>
        <w:t xml:space="preserve">(3), 595–608.</w:t>
      </w:r>
      <w:r>
        <w:t xml:space="preserve"> </w:t>
      </w:r>
      <w:hyperlink r:id="rId289">
        <w:r>
          <w:rPr>
            <w:rStyle w:val="Hyperlink"/>
          </w:rPr>
          <w:t xml:space="preserve">https://doi.org/10.1111/j.1095-8312.2010.01531.x</w:t>
        </w:r>
      </w:hyperlink>
    </w:p>
    <w:bookmarkEnd w:id="290"/>
    <w:bookmarkStart w:id="292" w:name="ref-JICzDA7P"/>
    <w:p>
      <w:pPr>
        <w:pStyle w:val="Bibliography"/>
      </w:pPr>
      <w:r>
        <w:t xml:space="preserve">廖炳松, 陳澤生, &amp; 詹寶珠. (2001). A Fast Algorithm for Multilevel Thresholding.</w:t>
      </w:r>
      <w:r>
        <w:t xml:space="preserve"> </w:t>
      </w:r>
      <w:r>
        <w:rPr>
          <w:iCs/>
          <w:i/>
        </w:rPr>
        <w:t xml:space="preserve">Journal of Information Science and Engineering</w:t>
      </w:r>
      <w:r>
        <w:t xml:space="preserve">,</w:t>
      </w:r>
      <w:r>
        <w:t xml:space="preserve"> </w:t>
      </w:r>
      <w:r>
        <w:rPr>
          <w:iCs/>
          <w:i/>
        </w:rPr>
        <w:t xml:space="preserve">17</w:t>
      </w:r>
      <w:r>
        <w:t xml:space="preserve">(5).</w:t>
      </w:r>
      <w:r>
        <w:t xml:space="preserve"> </w:t>
      </w:r>
      <w:hyperlink r:id="rId291">
        <w:r>
          <w:rPr>
            <w:rStyle w:val="Hyperlink"/>
          </w:rPr>
          <w:t xml:space="preserve">https://doi.org/10.6688/jise.2001.17.5.1</w:t>
        </w:r>
      </w:hyperlink>
    </w:p>
    <w:bookmarkEnd w:id="292"/>
    <w:bookmarkEnd w:id="293"/>
    <w:bookmarkEnd w:id="294"/>
    <w:sectPr w:rsidR="00E9076B" w:rsidRPr="008C690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1682F8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062BDF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658413B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06E24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1C4963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8807AF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D127D7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ECA744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B5E2B0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38C1E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AC46E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40" w:before="240" w:line="264" w:lineRule="auto"/>
      </w:pPr>
    </w:pPrDefault>
  </w:docDefaults>
  <w:latentStyles w:count="376" w:defLockedState="0" w:defQFormat="0" w:defSemiHidden="0" w:defUIPriority="0" w:defUnhideWhenUsed="0">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default="1" w:styleId="Normal" w:type="paragraph">
    <w:name w:val="Normal"/>
    <w:rsid w:val="00966CDD"/>
    <w:rPr>
      <w:rFonts w:ascii="Arial" w:hAnsi="Arial"/>
    </w:rPr>
  </w:style>
  <w:style w:styleId="Heading1" w:type="paragraph">
    <w:name w:val="heading 1"/>
    <w:basedOn w:val="Normal"/>
    <w:next w:val="BodyText"/>
    <w:autoRedefine/>
    <w:uiPriority w:val="9"/>
    <w:rsid w:val="00917F19"/>
    <w:pPr>
      <w:keepNext/>
      <w:keepLines/>
      <w:jc w:val="center"/>
      <w:outlineLvl w:val="0"/>
    </w:pPr>
    <w:rPr>
      <w:rFonts w:cstheme="majorBidi" w:eastAsiaTheme="majorEastAsia"/>
      <w:b/>
      <w:bCs/>
      <w:sz w:val="44"/>
      <w:szCs w:val="32"/>
    </w:rPr>
  </w:style>
  <w:style w:styleId="Heading2" w:type="paragraph">
    <w:name w:val="heading 2"/>
    <w:basedOn w:val="Normal"/>
    <w:next w:val="BodyText"/>
    <w:autoRedefine/>
    <w:uiPriority w:val="9"/>
    <w:rsid w:val="00A103BA"/>
    <w:pPr>
      <w:keepNext/>
      <w:keepLines/>
      <w:outlineLvl w:val="1"/>
    </w:pPr>
    <w:rPr>
      <w:rFonts w:cstheme="majorBidi" w:eastAsiaTheme="majorEastAsia"/>
      <w:b/>
      <w:bCs/>
      <w:sz w:val="36"/>
      <w:szCs w:val="28"/>
    </w:rPr>
  </w:style>
  <w:style w:styleId="Heading3" w:type="paragraph">
    <w:name w:val="heading 3"/>
    <w:basedOn w:val="Normal"/>
    <w:next w:val="BodyText"/>
    <w:autoRedefine/>
    <w:uiPriority w:val="9"/>
    <w:rsid w:val="006764A2"/>
    <w:pPr>
      <w:keepNext/>
      <w:keepLines/>
      <w:outlineLvl w:val="2"/>
    </w:pPr>
    <w:rPr>
      <w:rFonts w:cstheme="majorBidi" w:eastAsiaTheme="majorEastAsia"/>
      <w:b/>
      <w:bCs/>
      <w:sz w:val="30"/>
      <w:szCs w:val="24"/>
    </w:rPr>
  </w:style>
  <w:style w:styleId="Heading4" w:type="paragraph">
    <w:name w:val="heading 4"/>
    <w:basedOn w:val="Normal"/>
    <w:next w:val="BodyText"/>
    <w:autoRedefine/>
    <w:uiPriority w:val="9"/>
    <w:rsid w:val="006764A2"/>
    <w:pPr>
      <w:keepNext/>
      <w:keepLines/>
      <w:outlineLvl w:val="3"/>
    </w:pPr>
    <w:rPr>
      <w:rFonts w:cstheme="majorBidi" w:eastAsiaTheme="majorEastAsia"/>
      <w:b/>
      <w:bCs/>
      <w:sz w:val="26"/>
      <w:szCs w:val="24"/>
    </w:rPr>
  </w:style>
  <w:style w:styleId="Heading5" w:type="paragraph">
    <w:name w:val="heading 5"/>
    <w:basedOn w:val="Normal"/>
    <w:next w:val="BodyText"/>
    <w:autoRedefine/>
    <w:uiPriority w:val="9"/>
    <w:rsid w:val="006764A2"/>
    <w:pPr>
      <w:keepNext/>
      <w:keepLines/>
      <w:outlineLvl w:val="4"/>
    </w:pPr>
    <w:rPr>
      <w:rFonts w:cstheme="majorBidi" w:eastAsiaTheme="majorEastAsia"/>
      <w:b/>
      <w:iCs/>
      <w:sz w:val="24"/>
      <w:szCs w:val="24"/>
    </w:rPr>
  </w:style>
  <w:style w:styleId="Heading6" w:type="paragraph">
    <w:name w:val="heading 6"/>
    <w:basedOn w:val="Normal"/>
    <w:next w:val="BodyText"/>
    <w:autoRedefine/>
    <w:uiPriority w:val="9"/>
    <w:rsid w:val="0045149C"/>
    <w:pPr>
      <w:keepNext/>
      <w:keepLines/>
      <w:outlineLvl w:val="5"/>
    </w:pPr>
    <w:rPr>
      <w:rFonts w:cstheme="majorBidi" w:eastAsiaTheme="majorEastAsia"/>
      <w:b/>
      <w:szCs w:val="24"/>
    </w:rPr>
  </w:style>
  <w:style w:styleId="Heading7" w:type="paragraph">
    <w:name w:val="heading 7"/>
    <w:basedOn w:val="Normal"/>
    <w:next w:val="BodyText"/>
    <w:autoRedefine/>
    <w:uiPriority w:val="9"/>
    <w:rsid w:val="007D46E5"/>
    <w:pPr>
      <w:keepNext/>
      <w:keepLines/>
      <w:outlineLvl w:val="6"/>
    </w:pPr>
    <w:rPr>
      <w:rFonts w:cstheme="majorBidi" w:eastAsiaTheme="majorEastAsia"/>
      <w:b/>
      <w:szCs w:val="24"/>
    </w:rPr>
  </w:style>
  <w:style w:styleId="Heading8" w:type="paragraph">
    <w:name w:val="heading 8"/>
    <w:basedOn w:val="Normal"/>
    <w:next w:val="BodyText"/>
    <w:autoRedefine/>
    <w:uiPriority w:val="9"/>
    <w:rsid w:val="007D46E5"/>
    <w:pPr>
      <w:keepNext/>
      <w:keepLines/>
      <w:outlineLvl w:val="7"/>
    </w:pPr>
    <w:rPr>
      <w:rFonts w:cstheme="majorBidi" w:eastAsiaTheme="majorEastAsia"/>
      <w:b/>
      <w:szCs w:val="24"/>
    </w:rPr>
  </w:style>
  <w:style w:styleId="Heading9" w:type="paragraph">
    <w:name w:val="heading 9"/>
    <w:basedOn w:val="Normal"/>
    <w:next w:val="BodyText"/>
    <w:autoRedefine/>
    <w:uiPriority w:val="9"/>
    <w:rsid w:val="00816895"/>
    <w:pPr>
      <w:keepNext/>
      <w:keepLines/>
      <w:outlineLvl w:val="8"/>
    </w:pPr>
    <w:rPr>
      <w:rFonts w:cstheme="majorBidi" w:eastAsiaTheme="majorEastAsia"/>
      <w:b/>
      <w:szCs w:val="24"/>
    </w:rPr>
  </w:style>
  <w:style w:default="1" w:styleId="DefaultParagraphFont" w:type="character">
    <w:name w:val="Default Paragraph Font"/>
    <w:uiPriority w:val="1"/>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rsid w:val="00316091"/>
  </w:style>
  <w:style w:customStyle="1" w:styleId="FirstParagraph" w:type="paragraph">
    <w:name w:val="First Paragraph"/>
    <w:basedOn w:val="BodyText"/>
    <w:next w:val="BodyText"/>
  </w:style>
  <w:style w:customStyle="1" w:styleId="Compact" w:type="paragraph">
    <w:name w:val="Compact"/>
    <w:basedOn w:val="BodyText"/>
    <w:autoRedefine/>
    <w:pPr>
      <w:spacing w:after="36" w:before="36"/>
    </w:pPr>
  </w:style>
  <w:style w:styleId="Title" w:type="paragraph">
    <w:name w:val="Title"/>
    <w:basedOn w:val="Normal"/>
    <w:next w:val="BodyText"/>
    <w:autoRedefine/>
    <w:rsid w:val="003F02CC"/>
    <w:pPr>
      <w:keepNext/>
      <w:keepLines/>
      <w:jc w:val="center"/>
    </w:pPr>
    <w:rPr>
      <w:rFonts w:cstheme="majorBidi" w:eastAsiaTheme="majorEastAsia"/>
      <w:b/>
      <w:bCs/>
      <w:sz w:val="44"/>
      <w:szCs w:val="36"/>
    </w:rPr>
  </w:style>
  <w:style w:styleId="Subtitle" w:type="paragraph">
    <w:name w:val="Subtitle"/>
    <w:basedOn w:val="Title"/>
    <w:next w:val="BodyText"/>
    <w:autoRedefine/>
    <w:rsid w:val="003F02CC"/>
    <w:rPr>
      <w:sz w:val="36"/>
      <w:szCs w:val="30"/>
    </w:rPr>
  </w:style>
  <w:style w:customStyle="1" w:styleId="Author" w:type="paragraph">
    <w:name w:val="Author"/>
    <w:basedOn w:val="Normal"/>
    <w:next w:val="BodyText"/>
    <w:autoRedefine/>
    <w:pPr>
      <w:keepNext/>
      <w:keepLines/>
      <w:jc w:val="center"/>
    </w:pPr>
  </w:style>
  <w:style w:styleId="Date" w:type="paragraph">
    <w:name w:val="Date"/>
    <w:basedOn w:val="Normal"/>
    <w:next w:val="BodyText"/>
    <w:pPr>
      <w:keepNext/>
      <w:keepLines/>
      <w:jc w:val="center"/>
    </w:pPr>
  </w:style>
  <w:style w:customStyle="1" w:styleId="Abstract" w:type="paragraph">
    <w:name w:val="Abstract"/>
    <w:basedOn w:val="Normal"/>
    <w:next w:val="BodyText"/>
    <w:autoRedefine/>
    <w:rsid w:val="000D0DB1"/>
    <w:pPr>
      <w:keepNext/>
      <w:keepLines/>
    </w:pPr>
    <w:rPr>
      <w:szCs w:val="20"/>
    </w:rPr>
  </w:style>
  <w:style w:styleId="Bibliography" w:type="paragraph">
    <w:name w:val="Bibliography"/>
    <w:basedOn w:val="Normal"/>
  </w:style>
  <w:style w:styleId="BlockText" w:type="paragraph">
    <w:name w:val="Block Text"/>
    <w:basedOn w:val="BodyText"/>
    <w:next w:val="BodyText"/>
    <w:uiPriority w:val="9"/>
    <w:rsid w:val="002E757C"/>
    <w:pPr>
      <w:ind w:left="360" w:right="360"/>
    </w:pPr>
  </w:style>
  <w:style w:styleId="FootnoteText" w:type="paragraph">
    <w:name w:val="footnote text"/>
    <w:basedOn w:val="Normal"/>
    <w:autoRedefine/>
    <w:uiPriority w:val="9"/>
  </w:style>
  <w:style w:customStyle="1" w:styleId="Table" w:type="table">
    <w:name w:val="Table"/>
    <w:semiHidden/>
    <w:unhideWhenUsed/>
    <w:qFormat/>
    <w:rsid w:val="00920B49"/>
    <w:rPr>
      <w:rFonts w:ascii="Arial" w:hAnsi="Arial"/>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autoRedefine/>
    <w:rsid w:val="00443643"/>
    <w:rPr>
      <w:b/>
    </w:rPr>
  </w:style>
  <w:style w:customStyle="1" w:styleId="Definition" w:type="paragraph">
    <w:name w:val="Definition"/>
    <w:basedOn w:val="Normal"/>
    <w:autoRedefine/>
    <w:rsid w:val="008C6903"/>
  </w:style>
  <w:style w:styleId="Caption" w:type="paragraph">
    <w:name w:val="caption"/>
    <w:basedOn w:val="Normal"/>
    <w:link w:val="CaptionChar"/>
    <w:pPr>
      <w:spacing w:after="120" w:before="0"/>
    </w:pPr>
    <w:rPr>
      <w:i/>
    </w:rPr>
  </w:style>
  <w:style w:customStyle="1" w:styleId="TableCaption" w:type="paragraph">
    <w:name w:val="Table Caption"/>
    <w:basedOn w:val="Caption"/>
    <w:autoRedefine/>
    <w:rsid w:val="00A103BA"/>
    <w:pPr>
      <w:keepNext/>
    </w:pPr>
  </w:style>
  <w:style w:customStyle="1" w:styleId="ImageCaption" w:type="paragraph">
    <w:name w:val="Image Caption"/>
    <w:basedOn w:val="Caption"/>
    <w:autoRedefin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6E43F9"/>
    <w:rPr>
      <w:i/>
    </w:rPr>
  </w:style>
  <w:style w:customStyle="1" w:styleId="VerbatimChar" w:type="character">
    <w:name w:val="Verbatim Char"/>
    <w:basedOn w:val="CaptionChar"/>
    <w:rsid w:val="00B97DB2"/>
    <w:rPr>
      <w:rFonts w:ascii="Courier New" w:hAnsi="Courier New"/>
      <w:i w:val="0"/>
      <w:sz w:val="22"/>
    </w:rPr>
  </w:style>
  <w:style w:styleId="FootnoteReference" w:type="character">
    <w:name w:val="footnote reference"/>
    <w:basedOn w:val="CaptionChar"/>
    <w:rPr>
      <w:i/>
      <w:vertAlign w:val="superscript"/>
    </w:rPr>
  </w:style>
  <w:style w:styleId="Hyperlink" w:type="character">
    <w:name w:val="Hyperlink"/>
    <w:basedOn w:val="CaptionChar"/>
    <w:rsid w:val="00B97DB2"/>
    <w:rPr>
      <w:rFonts w:ascii="Arial" w:hAnsi="Arial"/>
      <w:i w:val="0"/>
      <w:color w:val="0000FF"/>
      <w:sz w:val="22"/>
      <w:u w:val="single"/>
    </w:rPr>
  </w:style>
  <w:style w:styleId="TOCHeading" w:type="paragraph">
    <w:name w:val="TOC Heading"/>
    <w:basedOn w:val="Heading1"/>
    <w:next w:val="BodyText"/>
    <w:uiPriority w:val="39"/>
    <w:pPr>
      <w:spacing w:line="259" w:lineRule="auto"/>
      <w:outlineLvl w:val="9"/>
    </w:pPr>
    <w:rPr>
      <w:rFonts w:asciiTheme="majorHAnsi" w:hAnsiTheme="majorHAnsi"/>
      <w:b w:val="0"/>
      <w:bCs w:val="0"/>
      <w:color w:themeColor="accent1" w:themeShade="BF" w:val="365F91"/>
    </w:rPr>
  </w:style>
  <w:style w:styleId="Header" w:type="paragraph">
    <w:name w:val="header"/>
    <w:basedOn w:val="Normal"/>
    <w:link w:val="HeaderChar"/>
    <w:rsid w:val="008C6903"/>
    <w:pPr>
      <w:tabs>
        <w:tab w:pos="4680" w:val="center"/>
        <w:tab w:pos="9360" w:val="right"/>
      </w:tabs>
      <w:spacing w:after="0" w:before="0" w:line="240" w:lineRule="auto"/>
    </w:pPr>
  </w:style>
  <w:style w:customStyle="1" w:styleId="BodyTextChar" w:type="character">
    <w:name w:val="Body Text Char"/>
    <w:basedOn w:val="DefaultParagraphFont"/>
    <w:link w:val="BodyText"/>
    <w:rsid w:val="00316091"/>
    <w:rPr>
      <w:rFonts w:ascii="Arial" w:hAnsi="Arial"/>
    </w:rPr>
  </w:style>
  <w:style w:customStyle="1" w:styleId="HeaderChar" w:type="character">
    <w:name w:val="Header Char"/>
    <w:basedOn w:val="DefaultParagraphFont"/>
    <w:link w:val="Header"/>
    <w:rsid w:val="008C6903"/>
    <w:rPr>
      <w:rFonts w:ascii="Arial" w:hAnsi="Arial"/>
    </w:rPr>
  </w:style>
  <w:style w:styleId="Footer" w:type="paragraph">
    <w:name w:val="footer"/>
    <w:basedOn w:val="Normal"/>
    <w:link w:val="FooterChar"/>
    <w:rsid w:val="008C6903"/>
    <w:pPr>
      <w:tabs>
        <w:tab w:pos="4680" w:val="center"/>
        <w:tab w:pos="9360" w:val="right"/>
      </w:tabs>
      <w:spacing w:after="0" w:before="0" w:line="240" w:lineRule="auto"/>
    </w:pPr>
  </w:style>
  <w:style w:customStyle="1" w:styleId="FooterChar" w:type="characte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149" Target="media/rId149.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161" Target="media/rId161.png" /><Relationship Type="http://schemas.openxmlformats.org/officeDocument/2006/relationships/image" Id="rId120" Target="media/rId120.png" /><Relationship Type="http://schemas.openxmlformats.org/officeDocument/2006/relationships/image" Id="rId88" Target="media/rId88.png" /><Relationship Type="http://schemas.openxmlformats.org/officeDocument/2006/relationships/image" Id="rId109" Target="media/rId109.png" /><Relationship Type="http://schemas.openxmlformats.org/officeDocument/2006/relationships/image" Id="rId105" Target="media/rId105.png" /><Relationship Type="http://schemas.openxmlformats.org/officeDocument/2006/relationships/image" Id="rId96" Target="media/rId96.png" /><Relationship Type="http://schemas.openxmlformats.org/officeDocument/2006/relationships/image" Id="rId114" Target="media/rId114.png" /><Relationship Type="http://schemas.openxmlformats.org/officeDocument/2006/relationships/image" Id="rId193" Target="media/rId193.png" /><Relationship Type="http://schemas.openxmlformats.org/officeDocument/2006/relationships/image" Id="rId30" Target="media/rId30.svg" /><Relationship Type="http://schemas.openxmlformats.org/officeDocument/2006/relationships/image" Id="rId35" Target="media/rId35.svg" /><Relationship Type="http://schemas.openxmlformats.org/officeDocument/2006/relationships/image" Id="rId25" Target="media/rId25.svg" /><Relationship Type="http://schemas.openxmlformats.org/officeDocument/2006/relationships/image" Id="rId79" Target="media/rId79.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21" Target="https://besjournals.onlinelibrary.wiley.com/journal/2041210X" TargetMode="External" /><Relationship Type="http://schemas.openxmlformats.org/officeDocument/2006/relationships/hyperlink" Id="rId172" Target="https://credit.niso.org/" TargetMode="External" /><Relationship Type="http://schemas.openxmlformats.org/officeDocument/2006/relationships/hyperlink" Id="rId173" Target="https://credit.niso.org/contributor-roles/conceptualization/" TargetMode="External" /><Relationship Type="http://schemas.openxmlformats.org/officeDocument/2006/relationships/hyperlink" Id="rId174" Target="https://credit.niso.org/contributor-roles/data-curation/" TargetMode="External" /><Relationship Type="http://schemas.openxmlformats.org/officeDocument/2006/relationships/hyperlink" Id="rId175" Target="https://credit.niso.org/contributor-roles/formal-analysis/" TargetMode="External" /><Relationship Type="http://schemas.openxmlformats.org/officeDocument/2006/relationships/hyperlink" Id="rId176" Target="https://credit.niso.org/contributor-roles/funding-acquisition/" TargetMode="External" /><Relationship Type="http://schemas.openxmlformats.org/officeDocument/2006/relationships/hyperlink" Id="rId177" Target="https://credit.niso.org/contributor-roles/investigation/" TargetMode="External" /><Relationship Type="http://schemas.openxmlformats.org/officeDocument/2006/relationships/hyperlink" Id="rId178" Target="https://credit.niso.org/contributor-roles/methodology/" TargetMode="External" /><Relationship Type="http://schemas.openxmlformats.org/officeDocument/2006/relationships/hyperlink" Id="rId179" Target="https://credit.niso.org/contributor-roles/project-administration/" TargetMode="External" /><Relationship Type="http://schemas.openxmlformats.org/officeDocument/2006/relationships/hyperlink" Id="rId180" Target="https://credit.niso.org/contributor-roles/resources/" TargetMode="External" /><Relationship Type="http://schemas.openxmlformats.org/officeDocument/2006/relationships/hyperlink" Id="rId181" Target="https://credit.niso.org/contributor-roles/software/" TargetMode="External" /><Relationship Type="http://schemas.openxmlformats.org/officeDocument/2006/relationships/hyperlink" Id="rId182" Target="https://credit.niso.org/contributor-roles/supervision/" TargetMode="External" /><Relationship Type="http://schemas.openxmlformats.org/officeDocument/2006/relationships/hyperlink" Id="rId183" Target="https://credit.niso.org/contributor-roles/validation/" TargetMode="External" /><Relationship Type="http://schemas.openxmlformats.org/officeDocument/2006/relationships/hyperlink" Id="rId184" Target="https://credit.niso.org/contributor-roles/visualization/" TargetMode="External" /><Relationship Type="http://schemas.openxmlformats.org/officeDocument/2006/relationships/hyperlink" Id="rId185" Target="https://credit.niso.org/contributor-roles/writing---original-draft/" TargetMode="External" /><Relationship Type="http://schemas.openxmlformats.org/officeDocument/2006/relationships/hyperlink" Id="rId186" Target="https://credit.niso.org/contributor-roles/writing---review-&amp;-editing/" TargetMode="External" /><Relationship Type="http://schemas.openxmlformats.org/officeDocument/2006/relationships/hyperlink" Id="rId233" Target="https://dask.org" TargetMode="External" /><Relationship Type="http://schemas.openxmlformats.org/officeDocument/2006/relationships/hyperlink" Id="rId247" Target="https://doi.org/10.1002/ece3.11503" TargetMode="External" /><Relationship Type="http://schemas.openxmlformats.org/officeDocument/2006/relationships/hyperlink" Id="rId245" Target="https://doi.org/10.1002/ece3.6929" TargetMode="External" /><Relationship Type="http://schemas.openxmlformats.org/officeDocument/2006/relationships/hyperlink" Id="rId219" Target="https://doi.org/10.1002/evl3.175" TargetMode="External" /><Relationship Type="http://schemas.openxmlformats.org/officeDocument/2006/relationships/hyperlink" Id="rId253" Target="https://doi.org/10.1007/978-1-4614-7657-3_19" TargetMode="External" /><Relationship Type="http://schemas.openxmlformats.org/officeDocument/2006/relationships/hyperlink" Id="rId285" Target="https://doi.org/10.1007/s10228-004-0251-5" TargetMode="External" /><Relationship Type="http://schemas.openxmlformats.org/officeDocument/2006/relationships/hyperlink" Id="rId277" Target="https://doi.org/10.1038/nmeth.2019" TargetMode="External" /><Relationship Type="http://schemas.openxmlformats.org/officeDocument/2006/relationships/hyperlink" Id="rId257" Target="https://doi.org/10.1038/s41467-020-19303-w" TargetMode="External" /><Relationship Type="http://schemas.openxmlformats.org/officeDocument/2006/relationships/hyperlink" Id="rId279" Target="https://doi.org/10.1086/285404" TargetMode="External" /><Relationship Type="http://schemas.openxmlformats.org/officeDocument/2006/relationships/hyperlink" Id="rId241" Target="https://doi.org/10.1093/iob/obad008" TargetMode="External" /><Relationship Type="http://schemas.openxmlformats.org/officeDocument/2006/relationships/hyperlink" Id="rId223" Target="https://doi.org/10.1093/oso/9780198577287.001.0001" TargetMode="External" /><Relationship Type="http://schemas.openxmlformats.org/officeDocument/2006/relationships/hyperlink" Id="rId229" Target="https://doi.org/10.1111/2041-210x.13029" TargetMode="External" /><Relationship Type="http://schemas.openxmlformats.org/officeDocument/2006/relationships/hyperlink" Id="rId275" Target="https://doi.org/10.1111/2041-210x.13669" TargetMode="External" /><Relationship Type="http://schemas.openxmlformats.org/officeDocument/2006/relationships/hyperlink" Id="rId221" Target="https://doi.org/10.1111/2041-210x.13723" TargetMode="External" /><Relationship Type="http://schemas.openxmlformats.org/officeDocument/2006/relationships/hyperlink" Id="rId289" Target="https://doi.org/10.1111/j.1095-8312.2010.01531.x" TargetMode="External" /><Relationship Type="http://schemas.openxmlformats.org/officeDocument/2006/relationships/hyperlink" Id="rId249" Target="https://doi.org/10.1111/j.1095-8649.2009.02419.x" TargetMode="External" /><Relationship Type="http://schemas.openxmlformats.org/officeDocument/2006/relationships/hyperlink" Id="rId225" Target="https://doi.org/10.1111/j.1420-9101.2008.01583.x" TargetMode="External" /><Relationship Type="http://schemas.openxmlformats.org/officeDocument/2006/relationships/hyperlink" Id="rId273" Target="https://doi.org/10.1146/annurev-genom-111720-081402" TargetMode="External" /><Relationship Type="http://schemas.openxmlformats.org/officeDocument/2006/relationships/hyperlink" Id="rId259" Target="https://doi.org/10.1186/1471-2148-13-277" TargetMode="External" /><Relationship Type="http://schemas.openxmlformats.org/officeDocument/2006/relationships/hyperlink" Id="rId271" Target="https://doi.org/10.1186/s12915-020-0753-2" TargetMode="External" /><Relationship Type="http://schemas.openxmlformats.org/officeDocument/2006/relationships/hyperlink" Id="rId261" Target="https://doi.org/10.1242/jeb.074948" TargetMode="External" /><Relationship Type="http://schemas.openxmlformats.org/officeDocument/2006/relationships/hyperlink" Id="rId251" Target="https://doi.org/10.1371/journal.pcbi.1007128" TargetMode="External" /><Relationship Type="http://schemas.openxmlformats.org/officeDocument/2006/relationships/hyperlink" Id="rId227" Target="https://doi.org/10.1371/journal.pone.0193874" TargetMode="External" /><Relationship Type="http://schemas.openxmlformats.org/officeDocument/2006/relationships/hyperlink" Id="rId263" Target="https://doi.org/10.2144/000112619" TargetMode="External" /><Relationship Type="http://schemas.openxmlformats.org/officeDocument/2006/relationships/hyperlink" Id="rId255" Target="https://doi.org/10.3233/978-1-61499-649-1-87" TargetMode="External" /><Relationship Type="http://schemas.openxmlformats.org/officeDocument/2006/relationships/hyperlink" Id="rId217" Target="https://doi.org/10.32614/cran.package.geomorph" TargetMode="External" /><Relationship Type="http://schemas.openxmlformats.org/officeDocument/2006/relationships/hyperlink" Id="rId231" Target="https://doi.org/10.32614/cran.package.rrpp" TargetMode="External" /><Relationship Type="http://schemas.openxmlformats.org/officeDocument/2006/relationships/hyperlink" Id="rId215" Target="https://doi.org/10.3789/ansi.niso.z39.104-2022" TargetMode="External" /><Relationship Type="http://schemas.openxmlformats.org/officeDocument/2006/relationships/hyperlink" Id="rId239" Target="https://doi.org/10.3791/54056" TargetMode="External" /><Relationship Type="http://schemas.openxmlformats.org/officeDocument/2006/relationships/hyperlink" Id="rId235" Target="https://doi.org/10.5281/zenodo.18257528" TargetMode="External" /><Relationship Type="http://schemas.openxmlformats.org/officeDocument/2006/relationships/hyperlink" Id="rId243" Target="https://doi.org/10.5281/zenodo.2587555" TargetMode="External" /><Relationship Type="http://schemas.openxmlformats.org/officeDocument/2006/relationships/hyperlink" Id="rId281" Target="https://doi.org/10.5281/zenodo.3555620" TargetMode="External" /><Relationship Type="http://schemas.openxmlformats.org/officeDocument/2006/relationships/hyperlink" Id="rId265" Target="https://doi.org/10.5281/zenodo.3773450" TargetMode="External" /><Relationship Type="http://schemas.openxmlformats.org/officeDocument/2006/relationships/hyperlink" Id="rId237" Target="https://doi.org/10.64898/2026.02.04.699496" TargetMode="External" /><Relationship Type="http://schemas.openxmlformats.org/officeDocument/2006/relationships/hyperlink" Id="rId291" Target="https://doi.org/10.6688/jise.2001.17.5.1" TargetMode="External" /><Relationship Type="http://schemas.openxmlformats.org/officeDocument/2006/relationships/hyperlink" Id="rId71" Target="https://github.com/RuslanHlushchuk" TargetMode="External" /><Relationship Type="http://schemas.openxmlformats.org/officeDocument/2006/relationships/hyperlink" Id="rId55" Target="https://github.com/SheilaChristen" TargetMode="External" /><Relationship Type="http://schemas.openxmlformats.org/officeDocument/2006/relationships/hyperlink" Id="rId85" Target="https://github.com/TomoGraphics/Hol3Drs/blob/master/STL/Stickleback.Multiple.stl" TargetMode="External" /><Relationship Type="http://schemas.openxmlformats.org/officeDocument/2006/relationships/hyperlink" Id="rId86" Target="https://github.com/TomoGraphics/Hol3Drs/blob/master/Stickleback.Multiple.scad" TargetMode="External" /><Relationship Type="http://schemas.openxmlformats.org/officeDocument/2006/relationships/hyperlink" Id="rId63" Target="https://github.com/cpeichel" TargetMode="External" /><Relationship Type="http://schemas.openxmlformats.org/officeDocument/2006/relationships/hyperlink" Id="rId34" Target="https://github.com/habi" TargetMode="External" /><Relationship Type="http://schemas.openxmlformats.org/officeDocument/2006/relationships/hyperlink" Id="rId202" Target="https://github.com/habi/sticklebacks" TargetMode="External" /><Relationship Type="http://schemas.openxmlformats.org/officeDocument/2006/relationships/hyperlink" Id="rId198" Target="https://github.com/habi/sticklebacks-manuscript/blob/main/content/data/ScanningDetails.csv" TargetMode="External" /><Relationship Type="http://schemas.openxmlformats.org/officeDocument/2006/relationships/hyperlink" Id="rId211" Target="https://github.com/habi/sticklebacks-manuscript/blob/main/content/scripts/Morphometrics_RScript.R" TargetMode="External" /><Relationship Type="http://schemas.openxmlformats.org/officeDocument/2006/relationships/hyperlink" Id="rId208" Target="https://github.com/habi/sticklebacks-manuscript/blob/main/content/scripts/Resample_Curve.py" TargetMode="External" /><Relationship Type="http://schemas.openxmlformats.org/officeDocument/2006/relationships/hyperlink" Id="rId24" Target="https://github.com/habi/sticklebacks-manuscript/compare/v1.0...e8b369d01c448c5257dc24a636c4f65ec308e716#files_bucket" TargetMode="External" /><Relationship Type="http://schemas.openxmlformats.org/officeDocument/2006/relationships/hyperlink" Id="rId72" Target="https://github.com/habi/sticklebacks-manuscript/issues" TargetMode="External" /><Relationship Type="http://schemas.openxmlformats.org/officeDocument/2006/relationships/hyperlink" Id="rId209" Target="https://github.com/habi/sticklebacks-manuscript/raw/main/content/data/RESAMPLED_curves.zip" TargetMode="External" /><Relationship Type="http://schemas.openxmlformats.org/officeDocument/2006/relationships/hyperlink" Id="rId20" Target="https://github.com/habi/sticklebacks-manuscript/releases/tag/v1.0" TargetMode="External" /><Relationship Type="http://schemas.openxmlformats.org/officeDocument/2006/relationships/hyperlink" Id="rId23" Target="https://github.com/habi/sticklebacks-manuscript/tree/e8b369d01c448c5257dc24a636c4f65ec308e716" TargetMode="External" /><Relationship Type="http://schemas.openxmlformats.org/officeDocument/2006/relationships/hyperlink" Id="rId199" Target="https://github.com/habi/sticklebacks/blob/main/DataWrangling.ipynb" TargetMode="External" /><Relationship Type="http://schemas.openxmlformats.org/officeDocument/2006/relationships/hyperlink" Id="rId205" Target="https://github.com/habi/sticklebacks/blob/main/PrepareForMorphoSource.ipynb" TargetMode="External" /><Relationship Type="http://schemas.openxmlformats.org/officeDocument/2006/relationships/hyperlink" Id="rId146" Target="https://github.com/habi/sticklebacks/blob/main/logfiles/BucketOfFish_H/Sticklebucket_H.rec.Labels.Check.png" TargetMode="External" /><Relationship Type="http://schemas.openxmlformats.org/officeDocument/2006/relationships/hyperlink" Id="rId113" Target="https://github.com/habi/sticklebacks/blob/main/logfiles/BucketOfFish_H/rec_regions/SL.X23.012/SL.X23.012.log" TargetMode="External" /><Relationship Type="http://schemas.openxmlformats.org/officeDocument/2006/relationships/hyperlink" Id="rId93" Target="https://github.com/habi/sticklebacks/blob/main/rsync-sticklebacks.sh" TargetMode="External" /><Relationship Type="http://schemas.openxmlformats.org/officeDocument/2006/relationships/hyperlink" Id="rId200" Target="https://github.com/habi/sticklebacks/tree/main/logfiles" TargetMode="External" /><Relationship Type="http://schemas.openxmlformats.org/officeDocument/2006/relationships/hyperlink" Id="rId47" Target="https://github.com/sulserrb" TargetMode="External" /><Relationship Type="http://schemas.openxmlformats.org/officeDocument/2006/relationships/hyperlink" Id="rId22" Target="https://habi.github.io/sticklebacks-manuscript/v/e8b369d01c448c5257dc24a636c4f65ec308e716/" TargetMode="External" /><Relationship Type="http://schemas.openxmlformats.org/officeDocument/2006/relationships/hyperlink" Id="rId119" Target="https://htmlpreview.github.io/?https://raw.githubusercontent.com/habi/sticklebacks-manuscript/refs/heads/main/content/data/SL.X23.012.3D.html" TargetMode="External" /><Relationship Type="http://schemas.openxmlformats.org/officeDocument/2006/relationships/hyperlink" Id="rId95" Target="https://image.dask.org/en/latest/dask_image.imread.html" TargetMode="External" /><Relationship Type="http://schemas.openxmlformats.org/officeDocument/2006/relationships/hyperlink" Id="rId144" Target="https://imagej.net/ij/plugins/virtual-opener.html" TargetMode="External" /><Relationship Type="http://schemas.openxmlformats.org/officeDocument/2006/relationships/hyperlink" Id="rId267" Target="https://k3d-jupyter.org/index.html" TargetMode="External" /><Relationship Type="http://schemas.openxmlformats.org/officeDocument/2006/relationships/hyperlink" Id="rId39" Target="https://mastodon.social/@habi" TargetMode="External" /><Relationship Type="http://schemas.openxmlformats.org/officeDocument/2006/relationships/hyperlink" Id="rId191" Target="https://mic.unibe.ch/" TargetMode="External" /><Relationship Type="http://schemas.openxmlformats.org/officeDocument/2006/relationships/hyperlink" Id="rId101" Target="https://nbviewer.org/github/habi/sticklebacks/blob/main/BucketSeparator.ipynb" TargetMode="External" /><Relationship Type="http://schemas.openxmlformats.org/officeDocument/2006/relationships/hyperlink" Id="rId94" Target="https://nbviewer.org/github/habi/sticklebacks/blob/main/PreviewScans.ipynb" TargetMode="External" /><Relationship Type="http://schemas.openxmlformats.org/officeDocument/2006/relationships/hyperlink" Id="rId203" Target="https://nbviewer.org/github/habi/sticklebacks/tree/main/" TargetMode="External" /><Relationship Type="http://schemas.openxmlformats.org/officeDocument/2006/relationships/hyperlink" Id="rId84" Target="https://openscad.org/" TargetMode="External" /><Relationship Type="http://schemas.openxmlformats.org/officeDocument/2006/relationships/hyperlink" Id="rId287" Target="https://orbi.uliege.be/handle/2268/14698" TargetMode="External" /><Relationship Type="http://schemas.openxmlformats.org/officeDocument/2006/relationships/hyperlink" Id="rId67" Target="https://orcid.org/0000-0002-6722-8996" TargetMode="External" /><Relationship Type="http://schemas.openxmlformats.org/officeDocument/2006/relationships/hyperlink" Id="rId59" Target="https://orcid.org/0000-0002-7731-8944" TargetMode="External" /><Relationship Type="http://schemas.openxmlformats.org/officeDocument/2006/relationships/hyperlink" Id="rId43" Target="https://orcid.org/0000-0002-8750-0942" TargetMode="External" /><Relationship Type="http://schemas.openxmlformats.org/officeDocument/2006/relationships/hyperlink" Id="rId29" Target="https://orcid.org/0000-0003-3388-9187" TargetMode="External" /><Relationship Type="http://schemas.openxmlformats.org/officeDocument/2006/relationships/hyperlink" Id="rId51" Target="https://orcid.org/0009-0008-3514-0800" TargetMode="External" /><Relationship Type="http://schemas.openxmlformats.org/officeDocument/2006/relationships/hyperlink" Id="rId188" Target="https://paperreview.ai/" TargetMode="External" /><Relationship Type="http://schemas.openxmlformats.org/officeDocument/2006/relationships/hyperlink" Id="rId103" Target="https://scikit-image.org/docs/stable/api/skimage.measure.html#skimage.measure.label" TargetMode="External" /><Relationship Type="http://schemas.openxmlformats.org/officeDocument/2006/relationships/hyperlink" Id="rId104" Target="https://scikit-image.org/docs/stable/api/skimage.measure.html#skimage.measure.regionprops" TargetMode="External" /><Relationship Type="http://schemas.openxmlformats.org/officeDocument/2006/relationships/hyperlink" Id="rId138" Target="https://search.r-project.org/CRAN/refmans/geomorph/html/gm.prcomp.html" TargetMode="External" /><Relationship Type="http://schemas.openxmlformats.org/officeDocument/2006/relationships/hyperlink" Id="rId137" Target="https://search.r-project.org/CRAN/refmans/geomorph/html/gpagen.html" TargetMode="External" /><Relationship Type="http://schemas.openxmlformats.org/officeDocument/2006/relationships/hyperlink" Id="rId139" Target="https://search.r-project.org/CRAN/refmans/geomorph/html/procD.lm.html" TargetMode="External" /><Relationship Type="http://schemas.openxmlformats.org/officeDocument/2006/relationships/hyperlink" Id="rId118" Target="https://teem.sourceforge.net/nrrd/" TargetMode="External" /><Relationship Type="http://schemas.openxmlformats.org/officeDocument/2006/relationships/hyperlink" Id="rId269" Target="https://www.R-project.org/" TargetMode="External" /><Relationship Type="http://schemas.openxmlformats.org/officeDocument/2006/relationships/hyperlink" Id="rId87" Target="https://www.bruker.com/en/products-and-solutions/diffractometers-and-x-ray-microscopes/3d-x-ray-microscopes/skyscan-2214.html" TargetMode="External" /><Relationship Type="http://schemas.openxmlformats.org/officeDocument/2006/relationships/hyperlink" Id="rId102" Target="https://www.dask.org/" TargetMode="External" /><Relationship Type="http://schemas.openxmlformats.org/officeDocument/2006/relationships/hyperlink" Id="rId206" Target="https://www.morphosource.org/projects/000885106" TargetMode="External" /><Relationship Type="http://schemas.openxmlformats.org/officeDocument/2006/relationships/hyperlink" Id="rId283" Target="https://www.stratovan.com/products/checkpoint" TargetMode="External" /><Relationship Type="http://schemas.openxmlformats.org/officeDocument/2006/relationships/hyperlink" Id="rId73" Target="mailto:ruslan.hlushchuk@unibe.ch?subject=Feedback%20on%20%22High-Throughput%20Micro-CT%20and%20Automated%20Segmentation%20for%20Eco-Evolutionary%20Studies:%20A%20Case%20Study%20from%20Threespine%20Stickleback%22" TargetMode="External" /></Relationships>
</file>

<file path=word/_rels/footnotes.xml.rels><?xml version="1.0" encoding="UTF-8"?><Relationships xmlns="http://schemas.openxmlformats.org/package/2006/relationships"><Relationship Type="http://schemas.openxmlformats.org/officeDocument/2006/relationships/hyperlink" Id="rId21" Target="https://besjournals.onlinelibrary.wiley.com/journal/2041210X" TargetMode="External" /><Relationship Type="http://schemas.openxmlformats.org/officeDocument/2006/relationships/hyperlink" Id="rId172" Target="https://credit.niso.org/" TargetMode="External" /><Relationship Type="http://schemas.openxmlformats.org/officeDocument/2006/relationships/hyperlink" Id="rId173" Target="https://credit.niso.org/contributor-roles/conceptualization/" TargetMode="External" /><Relationship Type="http://schemas.openxmlformats.org/officeDocument/2006/relationships/hyperlink" Id="rId174" Target="https://credit.niso.org/contributor-roles/data-curation/" TargetMode="External" /><Relationship Type="http://schemas.openxmlformats.org/officeDocument/2006/relationships/hyperlink" Id="rId175" Target="https://credit.niso.org/contributor-roles/formal-analysis/" TargetMode="External" /><Relationship Type="http://schemas.openxmlformats.org/officeDocument/2006/relationships/hyperlink" Id="rId176" Target="https://credit.niso.org/contributor-roles/funding-acquisition/" TargetMode="External" /><Relationship Type="http://schemas.openxmlformats.org/officeDocument/2006/relationships/hyperlink" Id="rId177" Target="https://credit.niso.org/contributor-roles/investigation/" TargetMode="External" /><Relationship Type="http://schemas.openxmlformats.org/officeDocument/2006/relationships/hyperlink" Id="rId178" Target="https://credit.niso.org/contributor-roles/methodology/" TargetMode="External" /><Relationship Type="http://schemas.openxmlformats.org/officeDocument/2006/relationships/hyperlink" Id="rId179" Target="https://credit.niso.org/contributor-roles/project-administration/" TargetMode="External" /><Relationship Type="http://schemas.openxmlformats.org/officeDocument/2006/relationships/hyperlink" Id="rId180" Target="https://credit.niso.org/contributor-roles/resources/" TargetMode="External" /><Relationship Type="http://schemas.openxmlformats.org/officeDocument/2006/relationships/hyperlink" Id="rId181" Target="https://credit.niso.org/contributor-roles/software/" TargetMode="External" /><Relationship Type="http://schemas.openxmlformats.org/officeDocument/2006/relationships/hyperlink" Id="rId182" Target="https://credit.niso.org/contributor-roles/supervision/" TargetMode="External" /><Relationship Type="http://schemas.openxmlformats.org/officeDocument/2006/relationships/hyperlink" Id="rId183" Target="https://credit.niso.org/contributor-roles/validation/" TargetMode="External" /><Relationship Type="http://schemas.openxmlformats.org/officeDocument/2006/relationships/hyperlink" Id="rId184" Target="https://credit.niso.org/contributor-roles/visualization/" TargetMode="External" /><Relationship Type="http://schemas.openxmlformats.org/officeDocument/2006/relationships/hyperlink" Id="rId185" Target="https://credit.niso.org/contributor-roles/writing---original-draft/" TargetMode="External" /><Relationship Type="http://schemas.openxmlformats.org/officeDocument/2006/relationships/hyperlink" Id="rId186" Target="https://credit.niso.org/contributor-roles/writing---review-&amp;-editing/" TargetMode="External" /><Relationship Type="http://schemas.openxmlformats.org/officeDocument/2006/relationships/hyperlink" Id="rId233" Target="https://dask.org" TargetMode="External" /><Relationship Type="http://schemas.openxmlformats.org/officeDocument/2006/relationships/hyperlink" Id="rId247" Target="https://doi.org/10.1002/ece3.11503" TargetMode="External" /><Relationship Type="http://schemas.openxmlformats.org/officeDocument/2006/relationships/hyperlink" Id="rId245" Target="https://doi.org/10.1002/ece3.6929" TargetMode="External" /><Relationship Type="http://schemas.openxmlformats.org/officeDocument/2006/relationships/hyperlink" Id="rId219" Target="https://doi.org/10.1002/evl3.175" TargetMode="External" /><Relationship Type="http://schemas.openxmlformats.org/officeDocument/2006/relationships/hyperlink" Id="rId253" Target="https://doi.org/10.1007/978-1-4614-7657-3_19" TargetMode="External" /><Relationship Type="http://schemas.openxmlformats.org/officeDocument/2006/relationships/hyperlink" Id="rId285" Target="https://doi.org/10.1007/s10228-004-0251-5" TargetMode="External" /><Relationship Type="http://schemas.openxmlformats.org/officeDocument/2006/relationships/hyperlink" Id="rId277" Target="https://doi.org/10.1038/nmeth.2019" TargetMode="External" /><Relationship Type="http://schemas.openxmlformats.org/officeDocument/2006/relationships/hyperlink" Id="rId257" Target="https://doi.org/10.1038/s41467-020-19303-w" TargetMode="External" /><Relationship Type="http://schemas.openxmlformats.org/officeDocument/2006/relationships/hyperlink" Id="rId279" Target="https://doi.org/10.1086/285404" TargetMode="External" /><Relationship Type="http://schemas.openxmlformats.org/officeDocument/2006/relationships/hyperlink" Id="rId241" Target="https://doi.org/10.1093/iob/obad008" TargetMode="External" /><Relationship Type="http://schemas.openxmlformats.org/officeDocument/2006/relationships/hyperlink" Id="rId223" Target="https://doi.org/10.1093/oso/9780198577287.001.0001" TargetMode="External" /><Relationship Type="http://schemas.openxmlformats.org/officeDocument/2006/relationships/hyperlink" Id="rId229" Target="https://doi.org/10.1111/2041-210x.13029" TargetMode="External" /><Relationship Type="http://schemas.openxmlformats.org/officeDocument/2006/relationships/hyperlink" Id="rId275" Target="https://doi.org/10.1111/2041-210x.13669" TargetMode="External" /><Relationship Type="http://schemas.openxmlformats.org/officeDocument/2006/relationships/hyperlink" Id="rId221" Target="https://doi.org/10.1111/2041-210x.13723" TargetMode="External" /><Relationship Type="http://schemas.openxmlformats.org/officeDocument/2006/relationships/hyperlink" Id="rId289" Target="https://doi.org/10.1111/j.1095-8312.2010.01531.x" TargetMode="External" /><Relationship Type="http://schemas.openxmlformats.org/officeDocument/2006/relationships/hyperlink" Id="rId249" Target="https://doi.org/10.1111/j.1095-8649.2009.02419.x" TargetMode="External" /><Relationship Type="http://schemas.openxmlformats.org/officeDocument/2006/relationships/hyperlink" Id="rId225" Target="https://doi.org/10.1111/j.1420-9101.2008.01583.x" TargetMode="External" /><Relationship Type="http://schemas.openxmlformats.org/officeDocument/2006/relationships/hyperlink" Id="rId273" Target="https://doi.org/10.1146/annurev-genom-111720-081402" TargetMode="External" /><Relationship Type="http://schemas.openxmlformats.org/officeDocument/2006/relationships/hyperlink" Id="rId259" Target="https://doi.org/10.1186/1471-2148-13-277" TargetMode="External" /><Relationship Type="http://schemas.openxmlformats.org/officeDocument/2006/relationships/hyperlink" Id="rId271" Target="https://doi.org/10.1186/s12915-020-0753-2" TargetMode="External" /><Relationship Type="http://schemas.openxmlformats.org/officeDocument/2006/relationships/hyperlink" Id="rId261" Target="https://doi.org/10.1242/jeb.074948" TargetMode="External" /><Relationship Type="http://schemas.openxmlformats.org/officeDocument/2006/relationships/hyperlink" Id="rId251" Target="https://doi.org/10.1371/journal.pcbi.1007128" TargetMode="External" /><Relationship Type="http://schemas.openxmlformats.org/officeDocument/2006/relationships/hyperlink" Id="rId227" Target="https://doi.org/10.1371/journal.pone.0193874" TargetMode="External" /><Relationship Type="http://schemas.openxmlformats.org/officeDocument/2006/relationships/hyperlink" Id="rId263" Target="https://doi.org/10.2144/000112619" TargetMode="External" /><Relationship Type="http://schemas.openxmlformats.org/officeDocument/2006/relationships/hyperlink" Id="rId255" Target="https://doi.org/10.3233/978-1-61499-649-1-87" TargetMode="External" /><Relationship Type="http://schemas.openxmlformats.org/officeDocument/2006/relationships/hyperlink" Id="rId217" Target="https://doi.org/10.32614/cran.package.geomorph" TargetMode="External" /><Relationship Type="http://schemas.openxmlformats.org/officeDocument/2006/relationships/hyperlink" Id="rId231" Target="https://doi.org/10.32614/cran.package.rrpp" TargetMode="External" /><Relationship Type="http://schemas.openxmlformats.org/officeDocument/2006/relationships/hyperlink" Id="rId215" Target="https://doi.org/10.3789/ansi.niso.z39.104-2022" TargetMode="External" /><Relationship Type="http://schemas.openxmlformats.org/officeDocument/2006/relationships/hyperlink" Id="rId239" Target="https://doi.org/10.3791/54056" TargetMode="External" /><Relationship Type="http://schemas.openxmlformats.org/officeDocument/2006/relationships/hyperlink" Id="rId235" Target="https://doi.org/10.5281/zenodo.18257528" TargetMode="External" /><Relationship Type="http://schemas.openxmlformats.org/officeDocument/2006/relationships/hyperlink" Id="rId243" Target="https://doi.org/10.5281/zenodo.2587555" TargetMode="External" /><Relationship Type="http://schemas.openxmlformats.org/officeDocument/2006/relationships/hyperlink" Id="rId281" Target="https://doi.org/10.5281/zenodo.3555620" TargetMode="External" /><Relationship Type="http://schemas.openxmlformats.org/officeDocument/2006/relationships/hyperlink" Id="rId265" Target="https://doi.org/10.5281/zenodo.3773450" TargetMode="External" /><Relationship Type="http://schemas.openxmlformats.org/officeDocument/2006/relationships/hyperlink" Id="rId237" Target="https://doi.org/10.64898/2026.02.04.699496" TargetMode="External" /><Relationship Type="http://schemas.openxmlformats.org/officeDocument/2006/relationships/hyperlink" Id="rId291" Target="https://doi.org/10.6688/jise.2001.17.5.1" TargetMode="External" /><Relationship Type="http://schemas.openxmlformats.org/officeDocument/2006/relationships/hyperlink" Id="rId71" Target="https://github.com/RuslanHlushchuk" TargetMode="External" /><Relationship Type="http://schemas.openxmlformats.org/officeDocument/2006/relationships/hyperlink" Id="rId55" Target="https://github.com/SheilaChristen" TargetMode="External" /><Relationship Type="http://schemas.openxmlformats.org/officeDocument/2006/relationships/hyperlink" Id="rId85" Target="https://github.com/TomoGraphics/Hol3Drs/blob/master/STL/Stickleback.Multiple.stl" TargetMode="External" /><Relationship Type="http://schemas.openxmlformats.org/officeDocument/2006/relationships/hyperlink" Id="rId86" Target="https://github.com/TomoGraphics/Hol3Drs/blob/master/Stickleback.Multiple.scad" TargetMode="External" /><Relationship Type="http://schemas.openxmlformats.org/officeDocument/2006/relationships/hyperlink" Id="rId63" Target="https://github.com/cpeichel" TargetMode="External" /><Relationship Type="http://schemas.openxmlformats.org/officeDocument/2006/relationships/hyperlink" Id="rId34" Target="https://github.com/habi" TargetMode="External" /><Relationship Type="http://schemas.openxmlformats.org/officeDocument/2006/relationships/hyperlink" Id="rId202" Target="https://github.com/habi/sticklebacks" TargetMode="External" /><Relationship Type="http://schemas.openxmlformats.org/officeDocument/2006/relationships/hyperlink" Id="rId198" Target="https://github.com/habi/sticklebacks-manuscript/blob/main/content/data/ScanningDetails.csv" TargetMode="External" /><Relationship Type="http://schemas.openxmlformats.org/officeDocument/2006/relationships/hyperlink" Id="rId211" Target="https://github.com/habi/sticklebacks-manuscript/blob/main/content/scripts/Morphometrics_RScript.R" TargetMode="External" /><Relationship Type="http://schemas.openxmlformats.org/officeDocument/2006/relationships/hyperlink" Id="rId208" Target="https://github.com/habi/sticklebacks-manuscript/blob/main/content/scripts/Resample_Curve.py" TargetMode="External" /><Relationship Type="http://schemas.openxmlformats.org/officeDocument/2006/relationships/hyperlink" Id="rId24" Target="https://github.com/habi/sticklebacks-manuscript/compare/v1.0...e8b369d01c448c5257dc24a636c4f65ec308e716#files_bucket" TargetMode="External" /><Relationship Type="http://schemas.openxmlformats.org/officeDocument/2006/relationships/hyperlink" Id="rId72" Target="https://github.com/habi/sticklebacks-manuscript/issues" TargetMode="External" /><Relationship Type="http://schemas.openxmlformats.org/officeDocument/2006/relationships/hyperlink" Id="rId209" Target="https://github.com/habi/sticklebacks-manuscript/raw/main/content/data/RESAMPLED_curves.zip" TargetMode="External" /><Relationship Type="http://schemas.openxmlformats.org/officeDocument/2006/relationships/hyperlink" Id="rId20" Target="https://github.com/habi/sticklebacks-manuscript/releases/tag/v1.0" TargetMode="External" /><Relationship Type="http://schemas.openxmlformats.org/officeDocument/2006/relationships/hyperlink" Id="rId23" Target="https://github.com/habi/sticklebacks-manuscript/tree/e8b369d01c448c5257dc24a636c4f65ec308e716" TargetMode="External" /><Relationship Type="http://schemas.openxmlformats.org/officeDocument/2006/relationships/hyperlink" Id="rId199" Target="https://github.com/habi/sticklebacks/blob/main/DataWrangling.ipynb" TargetMode="External" /><Relationship Type="http://schemas.openxmlformats.org/officeDocument/2006/relationships/hyperlink" Id="rId205" Target="https://github.com/habi/sticklebacks/blob/main/PrepareForMorphoSource.ipynb" TargetMode="External" /><Relationship Type="http://schemas.openxmlformats.org/officeDocument/2006/relationships/hyperlink" Id="rId146" Target="https://github.com/habi/sticklebacks/blob/main/logfiles/BucketOfFish_H/Sticklebucket_H.rec.Labels.Check.png" TargetMode="External" /><Relationship Type="http://schemas.openxmlformats.org/officeDocument/2006/relationships/hyperlink" Id="rId113" Target="https://github.com/habi/sticklebacks/blob/main/logfiles/BucketOfFish_H/rec_regions/SL.X23.012/SL.X23.012.log" TargetMode="External" /><Relationship Type="http://schemas.openxmlformats.org/officeDocument/2006/relationships/hyperlink" Id="rId93" Target="https://github.com/habi/sticklebacks/blob/main/rsync-sticklebacks.sh" TargetMode="External" /><Relationship Type="http://schemas.openxmlformats.org/officeDocument/2006/relationships/hyperlink" Id="rId200" Target="https://github.com/habi/sticklebacks/tree/main/logfiles" TargetMode="External" /><Relationship Type="http://schemas.openxmlformats.org/officeDocument/2006/relationships/hyperlink" Id="rId47" Target="https://github.com/sulserrb" TargetMode="External" /><Relationship Type="http://schemas.openxmlformats.org/officeDocument/2006/relationships/hyperlink" Id="rId22" Target="https://habi.github.io/sticklebacks-manuscript/v/e8b369d01c448c5257dc24a636c4f65ec308e716/" TargetMode="External" /><Relationship Type="http://schemas.openxmlformats.org/officeDocument/2006/relationships/hyperlink" Id="rId119" Target="https://htmlpreview.github.io/?https://raw.githubusercontent.com/habi/sticklebacks-manuscript/refs/heads/main/content/data/SL.X23.012.3D.html" TargetMode="External" /><Relationship Type="http://schemas.openxmlformats.org/officeDocument/2006/relationships/hyperlink" Id="rId95" Target="https://image.dask.org/en/latest/dask_image.imread.html" TargetMode="External" /><Relationship Type="http://schemas.openxmlformats.org/officeDocument/2006/relationships/hyperlink" Id="rId144" Target="https://imagej.net/ij/plugins/virtual-opener.html" TargetMode="External" /><Relationship Type="http://schemas.openxmlformats.org/officeDocument/2006/relationships/hyperlink" Id="rId267" Target="https://k3d-jupyter.org/index.html" TargetMode="External" /><Relationship Type="http://schemas.openxmlformats.org/officeDocument/2006/relationships/hyperlink" Id="rId39" Target="https://mastodon.social/@habi" TargetMode="External" /><Relationship Type="http://schemas.openxmlformats.org/officeDocument/2006/relationships/hyperlink" Id="rId191" Target="https://mic.unibe.ch/" TargetMode="External" /><Relationship Type="http://schemas.openxmlformats.org/officeDocument/2006/relationships/hyperlink" Id="rId101" Target="https://nbviewer.org/github/habi/sticklebacks/blob/main/BucketSeparator.ipynb" TargetMode="External" /><Relationship Type="http://schemas.openxmlformats.org/officeDocument/2006/relationships/hyperlink" Id="rId94" Target="https://nbviewer.org/github/habi/sticklebacks/blob/main/PreviewScans.ipynb" TargetMode="External" /><Relationship Type="http://schemas.openxmlformats.org/officeDocument/2006/relationships/hyperlink" Id="rId203" Target="https://nbviewer.org/github/habi/sticklebacks/tree/main/" TargetMode="External" /><Relationship Type="http://schemas.openxmlformats.org/officeDocument/2006/relationships/hyperlink" Id="rId84" Target="https://openscad.org/" TargetMode="External" /><Relationship Type="http://schemas.openxmlformats.org/officeDocument/2006/relationships/hyperlink" Id="rId287" Target="https://orbi.uliege.be/handle/2268/14698" TargetMode="External" /><Relationship Type="http://schemas.openxmlformats.org/officeDocument/2006/relationships/hyperlink" Id="rId67" Target="https://orcid.org/0000-0002-6722-8996" TargetMode="External" /><Relationship Type="http://schemas.openxmlformats.org/officeDocument/2006/relationships/hyperlink" Id="rId59" Target="https://orcid.org/0000-0002-7731-8944" TargetMode="External" /><Relationship Type="http://schemas.openxmlformats.org/officeDocument/2006/relationships/hyperlink" Id="rId43" Target="https://orcid.org/0000-0002-8750-0942" TargetMode="External" /><Relationship Type="http://schemas.openxmlformats.org/officeDocument/2006/relationships/hyperlink" Id="rId29" Target="https://orcid.org/0000-0003-3388-9187" TargetMode="External" /><Relationship Type="http://schemas.openxmlformats.org/officeDocument/2006/relationships/hyperlink" Id="rId51" Target="https://orcid.org/0009-0008-3514-0800" TargetMode="External" /><Relationship Type="http://schemas.openxmlformats.org/officeDocument/2006/relationships/hyperlink" Id="rId188" Target="https://paperreview.ai/" TargetMode="External" /><Relationship Type="http://schemas.openxmlformats.org/officeDocument/2006/relationships/hyperlink" Id="rId103" Target="https://scikit-image.org/docs/stable/api/skimage.measure.html#skimage.measure.label" TargetMode="External" /><Relationship Type="http://schemas.openxmlformats.org/officeDocument/2006/relationships/hyperlink" Id="rId104" Target="https://scikit-image.org/docs/stable/api/skimage.measure.html#skimage.measure.regionprops" TargetMode="External" /><Relationship Type="http://schemas.openxmlformats.org/officeDocument/2006/relationships/hyperlink" Id="rId138" Target="https://search.r-project.org/CRAN/refmans/geomorph/html/gm.prcomp.html" TargetMode="External" /><Relationship Type="http://schemas.openxmlformats.org/officeDocument/2006/relationships/hyperlink" Id="rId137" Target="https://search.r-project.org/CRAN/refmans/geomorph/html/gpagen.html" TargetMode="External" /><Relationship Type="http://schemas.openxmlformats.org/officeDocument/2006/relationships/hyperlink" Id="rId139" Target="https://search.r-project.org/CRAN/refmans/geomorph/html/procD.lm.html" TargetMode="External" /><Relationship Type="http://schemas.openxmlformats.org/officeDocument/2006/relationships/hyperlink" Id="rId118" Target="https://teem.sourceforge.net/nrrd/" TargetMode="External" /><Relationship Type="http://schemas.openxmlformats.org/officeDocument/2006/relationships/hyperlink" Id="rId269" Target="https://www.R-project.org/" TargetMode="External" /><Relationship Type="http://schemas.openxmlformats.org/officeDocument/2006/relationships/hyperlink" Id="rId87" Target="https://www.bruker.com/en/products-and-solutions/diffractometers-and-x-ray-microscopes/3d-x-ray-microscopes/skyscan-2214.html" TargetMode="External" /><Relationship Type="http://schemas.openxmlformats.org/officeDocument/2006/relationships/hyperlink" Id="rId102" Target="https://www.dask.org/" TargetMode="External" /><Relationship Type="http://schemas.openxmlformats.org/officeDocument/2006/relationships/hyperlink" Id="rId206" Target="https://www.morphosource.org/projects/000885106" TargetMode="External" /><Relationship Type="http://schemas.openxmlformats.org/officeDocument/2006/relationships/hyperlink" Id="rId283" Target="https://www.stratovan.com/products/checkpoint" TargetMode="External" /><Relationship Type="http://schemas.openxmlformats.org/officeDocument/2006/relationships/hyperlink" Id="rId73" Target="mailto:ruslan.hlushchuk@unibe.ch?subject=Feedback%20on%20%22High-Throughput%20Micro-CT%20and%20Automated%20Segmentation%20for%20Eco-Evolutionary%20Studies:%20A%20Case%20Study%20from%20Threespine%20Stickleback%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High-Throughput Micro-CT and Automated Segmentation for Eco-Evolutionary Studies: A Case Study from Threespine Stickleback</dc:title>
  <dc:creator/>
  <dc:language>en-US</dc:language>
  <cp:keywords>tomography, high-throughput, stickleback, ecology</cp:keywords>
  <dcterms:created xsi:type="dcterms:W3CDTF">2026-10-30T13:28:18Z</dcterms:created>
  <dcterms:modified xsi:type="dcterms:W3CDTF">2026-10-30T13:28:18Z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https://www.zotero.org/styles/methods-in-ecology-and-evolution</vt:lpwstr>
  </property>
  <property fmtid="{D5CDD505-2E9C-101B-9397-08002B2CF9AE}" pid="6" name="date-meta">
    <vt:lpwstr>2026-10-30</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