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49.png" ContentType="image/png"/>
  <Override PartName="/word/media/rId157.png" ContentType="image/png"/>
  <Override PartName="/word/media/rId153.png" ContentType="image/png"/>
  <Override PartName="/word/media/rId161.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habi/sticklebacks-manuscript@c3f8d2c</w:t>
        </w:r>
      </w:hyperlink>
      <w:r>
        <w:t xml:space="preserve"> </w:t>
      </w:r>
      <w:r>
        <w:t xml:space="preserve">on October 30, 2026 and contains 6417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in theory, each specimen could be scanned individually, performing hundreds of scans of individual specimens</w:t>
      </w:r>
      <w:r>
        <w:t xml:space="preserve"> </w:t>
      </w:r>
      <w:r>
        <w:t xml:space="preserve">would represent a large drain of time, resources, and data storage.</w:t>
      </w:r>
      <w:r>
        <w:t xml:space="preserve"> </w:t>
      </w:r>
      <w:r>
        <w:t xml:space="preserve">Instead many investigators and tomogrpahy institutes choose to scan several specimens at once in a</w:t>
      </w:r>
      <w:r>
        <w:t xml:space="preserve"> </w:t>
      </w:r>
      <w:r>
        <w:t xml:space="preserve">“</w:t>
      </w:r>
      <w:r>
        <w:t xml:space="preserve">multiscan</w:t>
      </w:r>
      <w:r>
        <w:t xml:space="preserve">”</w:t>
      </w:r>
      <w:r>
        <w:t xml:space="preserve"> </w:t>
      </w:r>
      <w:r>
        <w:t xml:space="preserve">format.</w:t>
      </w:r>
      <w:r>
        <w:t xml:space="preserve"> </w:t>
      </w:r>
      <w:r>
        <w:t xml:space="preserve">Although efficient in terms of scanning beam-time and number of individuals per-scan, multiscans are considerably large files that must be partitioned correctly with respect to each individual specimen prior to downstream analysis.</w:t>
      </w:r>
      <w:r>
        <w:t xml:space="preserve"> </w:t>
      </w:r>
      <w:r>
        <w:t xml:space="preserve">This creates a bottleneck for large-scale research where sizable multiscans bloat processing time, in addition to potential risks regarding errors with specimen splitting and specimen identification.</w:t>
      </w:r>
    </w:p>
    <w:p>
      <w:pPr>
        <w:pStyle w:val="BodyText"/>
      </w:pPr>
      <w:r>
        <w:t xml:space="preserve">Furthermore, once pratitioned,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w:t>
      </w:r>
      <w:r>
        <w:t xml:space="preserve">yet the time and resources required per sample make this approach, too, infeasible for population-level and evolutionary studies.</w:t>
      </w:r>
      <w:r>
        <w:t xml:space="preserve"> </w:t>
      </w:r>
      <w:r>
        <w:t xml:space="preserve">Accessing these structures instead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58379"/>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58379"/>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p>
    <w:p>
      <w:pPr>
        <w:pStyle w:val="BodyText"/>
      </w:pP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Setting different voltage and current for one scan had no discernible influence on the downstream pipeline, since the segmentation of the features of interest was performed semi-automatically, as explained later.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32026"/>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32026"/>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0802"/>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0802"/>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9809"/>
            <wp:effectExtent b="0" l="0" r="0" t="0"/>
            <wp:docPr descr="Figure 4: Automatically detected regions based on maximum intensity projection along the rotation axis of the tomographic scan. The left panel shows the highlighted compart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9809"/>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1982"/>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1982"/>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6074"/>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6074"/>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2956335"/>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2956335"/>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each of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4078"/>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4078"/>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 </w:t>
      </w:r>
      <w:r>
        <w:t xml:space="preserve">and 3D Slicer</w:t>
      </w:r>
      <w:r>
        <w:t xml:space="preserve"> </w:t>
      </w:r>
      <w:r>
        <w:t xml:space="preserve">(</w:t>
      </w:r>
      <w:hyperlink w:anchor="ref-EsDua5wx">
        <w:r>
          <w:rPr>
            <w:rStyle w:val="Hyperlink"/>
          </w:rPr>
          <w:t xml:space="preserve">Kikinis et al., 2013</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p>
    <w:p>
      <w:pPr>
        <w:pStyle w:val="BodyText"/>
      </w:pP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Fixed landmarks were transferred using the</w:t>
      </w:r>
      <w:r>
        <w:t xml:space="preserve"> </w:t>
      </w:r>
      <w:r>
        <w:t xml:space="preserve">“</w:t>
      </w:r>
      <w:r>
        <w:t xml:space="preserve">Import/Apply Template</w:t>
      </w:r>
      <w:r>
        <w:t xml:space="preserve">”</w:t>
      </w:r>
      <w:r>
        <w:t xml:space="preserve"> </w:t>
      </w:r>
      <w:r>
        <w:t xml:space="preserve">function in Stratovan Checkpoint, and checked for manual inspection and adjustment prior to export.</w:t>
      </w:r>
      <w:r>
        <w:t xml:space="preserve"> </w:t>
      </w:r>
      <w:r>
        <w:t xml:space="preserve">Once curves and fixed points were established, equal distances of semi-landmark curves were ensured using the</w:t>
      </w:r>
      <w:r>
        <w:t xml:space="preserve"> </w:t>
      </w:r>
      <w:r>
        <w:rPr>
          <w:rStyle w:val="VerbatimChar"/>
        </w:rPr>
        <w:t xml:space="preserve">resample_curves</w:t>
      </w:r>
      <w:r>
        <w:t xml:space="preserve"> </w:t>
      </w:r>
      <w:r>
        <w:t xml:space="preserve">function in 3D Slicer.</w:t>
      </w:r>
      <w:r>
        <w:t xml:space="preserve"> </w:t>
      </w:r>
      <w:r>
        <w:t xml:space="preserve">While this particular workflow was chosen for time-efficiency, accuracy, and user familiarity, any preferred 3D landmarking program should be able to replicate these results.</w:t>
      </w:r>
    </w:p>
    <w:bookmarkStart w:id="0" w:name="fig:landmarks"/>
    <w:p>
      <w:pPr>
        <w:pStyle w:val="CaptionedFigure"/>
      </w:pPr>
      <w:bookmarkStart w:id="135" w:name="fig:landmarks"/>
      <w:r>
        <w:drawing>
          <wp:inline>
            <wp:extent cx="5943600" cy="4397123"/>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943600" cy="4397123"/>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6"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7"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The reconstructions of one exemplary dataset (</w:t>
      </w:r>
      <w:r>
        <w:rPr>
          <w:rStyle w:val="VerbatimChar"/>
        </w:rPr>
        <w:t xml:space="preserve">Sticklebucket_H</w:t>
      </w:r>
      <w:r>
        <w:t xml:space="preserve">) are stored as losslessly compressed 8-bit PNG files and take up 8.5 GB on disk, but require 42.8 GB of memory when fully loaded in Fiji</w:t>
      </w:r>
      <w:r>
        <w:t xml:space="preserve"> </w:t>
      </w:r>
      <w:r>
        <w:t xml:space="preserve">(</w:t>
      </w:r>
      <w:hyperlink w:anchor="ref-Fkmz2cmo">
        <w:r>
          <w:rPr>
            <w:rStyle w:val="Hyperlink"/>
          </w:rPr>
          <w:t xml:space="preserve">Schindelin et al., 2012</w:t>
        </w:r>
      </w:hyperlink>
      <w:r>
        <w:t xml:space="preserve">)</w:t>
      </w:r>
      <w:r>
        <w:t xml:space="preserve"> </w:t>
      </w:r>
      <w:r>
        <w:t xml:space="preserve">(3064 × 3064 pixels × 4891 slices).</w:t>
      </w:r>
      <w:r>
        <w:t xml:space="preserve"> </w:t>
      </w:r>
      <w:r>
        <w:t xml:space="preserve">Large stacks can be loaded as</w:t>
      </w:r>
      <w:r>
        <w:t xml:space="preserve"> </w:t>
      </w:r>
      <w:hyperlink r:id="rId144">
        <w:r>
          <w:rPr>
            <w:rStyle w:val="Hyperlink"/>
          </w:rPr>
          <w:t xml:space="preserve">virtual stacks</w:t>
        </w:r>
      </w:hyperlink>
      <w:r>
        <w:t xml:space="preserve"> </w:t>
      </w:r>
      <w:r>
        <w:t xml:space="preserve">and cropped in XY with low memory requirements, either manually or with a macro implementing steps similar to our pipeline.</w:t>
      </w:r>
      <w:r>
        <w:t xml:space="preserve"> </w:t>
      </w:r>
      <w:r>
        <w:t xml:space="preserve">Done manually, this would need to be repeated six times per scan, followed by assigning each cropped stack to its fish ID in an error-prone manual way.</w:t>
      </w:r>
    </w:p>
    <w:p>
      <w:pPr>
        <w:pStyle w:val="BodyText"/>
      </w:pP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5" w:name="tbl:timing"/>
    <w:p>
      <w:pPr>
        <w:pStyle w:val="TableCaption"/>
      </w:pPr>
      <w:r>
        <w:t xml:space="preserve">Table 1: Comparison of time estimates between manual and pipeline runs.</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5"/>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13">
        <w:r>
          <w:rPr>
            <w:rStyle w:val="Hyperlink"/>
          </w:rPr>
          <w:t xml:space="preserve">direct link for one such log file</w:t>
        </w:r>
      </w:hyperlink>
      <w:r>
        <w:t xml:space="preserve"> </w:t>
      </w:r>
      <w:r>
        <w:t xml:space="preserve">and</w:t>
      </w:r>
      <w:r>
        <w:t xml:space="preserve"> </w:t>
      </w:r>
      <w:hyperlink r:id="rId146">
        <w:r>
          <w:rPr>
            <w:rStyle w:val="Hyperlink"/>
          </w:rPr>
          <w:t xml:space="preserve">one such image</w:t>
        </w:r>
      </w:hyperlink>
      <w:r>
        <w:t xml:space="preserve">).</w:t>
      </w:r>
    </w:p>
    <w:p>
      <w:pPr>
        <w:pStyle w:val="BodyText"/>
      </w:pPr>
      <w:r>
        <w:t xml:space="preserve">The automated extraction produced 215</w:t>
      </w:r>
      <w:r>
        <w:t xml:space="preserve"> </w:t>
      </w:r>
      <w:r>
        <w:rPr>
          <w:rStyle w:val="VerbatimChar"/>
        </w:rPr>
        <w:t xml:space="preserve">nrrd</w:t>
      </w:r>
      <w:r>
        <w:t xml:space="preserve"> </w:t>
      </w:r>
      <w:r>
        <w:t xml:space="preserve">files with a total size of 385 GB (median 1.65 GB).</w:t>
      </w:r>
      <w:r>
        <w:t xml:space="preserve"> </w:t>
      </w:r>
      <w:r>
        <w:t xml:space="preserve">The exported regions varied in physical size, resulting in datasets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7"/>
    <w:bookmarkStart w:id="148"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8"/>
    <w:bookmarkStart w:id="165"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w:r>
        <w:rPr>
          <w:iCs/>
          <w:i/>
        </w:rPr>
        <w:t xml:space="preserve">R^2</w:t>
      </w:r>
      <w:r>
        <w:t xml:space="preserve"> </w:t>
      </w:r>
      <w:r>
        <w:t xml:space="preserve">= 0.03246; CB2:</w:t>
      </w:r>
      <w:r>
        <w:t xml:space="preserve"> </w:t>
      </w:r>
      <w:r>
        <w:rPr>
          <w:iCs/>
          <w:i/>
        </w:rPr>
        <w:t xml:space="preserve">p</w:t>
      </w:r>
      <w:r>
        <w:t xml:space="preserve"> </w:t>
      </w:r>
      <w:r>
        <w:t xml:space="preserve">= 0.001,</w:t>
      </w:r>
      <w:r>
        <w:t xml:space="preserve"> </w:t>
      </w:r>
      <w:r>
        <w:rPr>
          <w:iCs/>
          <w:i/>
        </w:rPr>
        <w:t xml:space="preserve">R^2</w:t>
      </w:r>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w:r>
        <w:rPr>
          <w:iCs/>
          <w:i/>
        </w:rPr>
        <w:t xml:space="preserve">R^2</w:t>
      </w:r>
      <w:r>
        <w:t xml:space="preserve"> </w:t>
      </w:r>
      <w:r>
        <w:t xml:space="preserve">= 0.09463; CB2:</w:t>
      </w:r>
      <w:r>
        <w:t xml:space="preserve"> </w:t>
      </w:r>
      <w:r>
        <w:rPr>
          <w:iCs/>
          <w:i/>
        </w:rPr>
        <w:t xml:space="preserve">p</w:t>
      </w:r>
      <w:r>
        <w:t xml:space="preserve"> </w:t>
      </w:r>
      <w:r>
        <w:t xml:space="preserve">= 0.001,</w:t>
      </w:r>
      <w:r>
        <w:t xml:space="preserve"> </w:t>
      </w:r>
      <w:r>
        <w:rPr>
          <w:iCs/>
          <w:i/>
        </w:rPr>
        <w:t xml:space="preserve">R^2</w:t>
      </w:r>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w:r>
        <w:rPr>
          <w:iCs/>
          <w:i/>
        </w:rPr>
        <w:t xml:space="preserve">R^2</w:t>
      </w:r>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2" w:name="fig:pca_cb1"/>
      <w:r>
        <w:drawing>
          <wp:inline>
            <wp:extent cx="5943600" cy="4143835"/>
            <wp:effectExtent b="0" l="0" r="0" t="0"/>
            <wp:docPr descr="Figure 10: PCA of CB1 colored by lake ecotype. Warps are indicated at the extremes of each axis by vectors drawn from a mean shape (red)." title="" id="150" name="Picture"/>
            <a:graphic>
              <a:graphicData uri="http://schemas.openxmlformats.org/drawingml/2006/picture">
                <pic:pic>
                  <pic:nvPicPr>
                    <pic:cNvPr descr="images/PCA_CB1_Plot.png" id="151" name="Picture"/>
                    <pic:cNvPicPr>
                      <a:picLocks noChangeArrowheads="1" noChangeAspect="1"/>
                    </pic:cNvPicPr>
                  </pic:nvPicPr>
                  <pic:blipFill>
                    <a:blip r:embed="rId149"/>
                    <a:stretch>
                      <a:fillRect/>
                    </a:stretch>
                  </pic:blipFill>
                  <pic:spPr bwMode="auto">
                    <a:xfrm>
                      <a:off x="0" y="0"/>
                      <a:ext cx="5943600" cy="4143835"/>
                    </a:xfrm>
                    <a:prstGeom prst="rect">
                      <a:avLst/>
                    </a:prstGeom>
                    <a:noFill/>
                    <a:ln w="9525">
                      <a:noFill/>
                      <a:headEnd/>
                      <a:tailEnd/>
                    </a:ln>
                  </pic:spPr>
                </pic:pic>
              </a:graphicData>
            </a:graphic>
          </wp:inline>
        </w:drawing>
      </w:r>
      <w:bookmarkEnd w:id="152"/>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w:r>
        <w:rPr>
          <w:iCs/>
          <w:i/>
        </w:rPr>
        <w:t xml:space="preserve">R^2</w:t>
      </w:r>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6" w:name="fig:pca_cb2"/>
      <w:r>
        <w:drawing>
          <wp:inline>
            <wp:extent cx="5943600" cy="4139930"/>
            <wp:effectExtent b="0" l="0" r="0" t="0"/>
            <wp:docPr descr="Figure 11: PCA of CB2 colored by lake ecotype. Warps are indicated at the extremes of each axis by vectors drawn from a mean shape (red)." title="" id="154" name="Picture"/>
            <a:graphic>
              <a:graphicData uri="http://schemas.openxmlformats.org/drawingml/2006/picture">
                <pic:pic>
                  <pic:nvPicPr>
                    <pic:cNvPr descr="images/PCA_CB2_Plot.png" id="155" name="Picture"/>
                    <pic:cNvPicPr>
                      <a:picLocks noChangeArrowheads="1" noChangeAspect="1"/>
                    </pic:cNvPicPr>
                  </pic:nvPicPr>
                  <pic:blipFill>
                    <a:blip r:embed="rId153"/>
                    <a:stretch>
                      <a:fillRect/>
                    </a:stretch>
                  </pic:blipFill>
                  <pic:spPr bwMode="auto">
                    <a:xfrm>
                      <a:off x="0" y="0"/>
                      <a:ext cx="5943600" cy="4139930"/>
                    </a:xfrm>
                    <a:prstGeom prst="rect">
                      <a:avLst/>
                    </a:prstGeom>
                    <a:noFill/>
                    <a:ln w="9525">
                      <a:noFill/>
                      <a:headEnd/>
                      <a:tailEnd/>
                    </a:ln>
                  </pic:spPr>
                </pic:pic>
              </a:graphicData>
            </a:graphic>
          </wp:inline>
        </w:drawing>
      </w:r>
      <w:bookmarkEnd w:id="156"/>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0" w:name="fig:pca_cb1_lake"/>
      <w:r>
        <w:drawing>
          <wp:inline>
            <wp:extent cx="5943600" cy="4081846"/>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58" name="Picture"/>
            <a:graphic>
              <a:graphicData uri="http://schemas.openxmlformats.org/drawingml/2006/picture">
                <pic:pic>
                  <pic:nvPicPr>
                    <pic:cNvPr descr="images/PCA_CB1_Plot_Lake.png" id="159" name="Picture"/>
                    <pic:cNvPicPr>
                      <a:picLocks noChangeArrowheads="1" noChangeAspect="1"/>
                    </pic:cNvPicPr>
                  </pic:nvPicPr>
                  <pic:blipFill>
                    <a:blip r:embed="rId157"/>
                    <a:stretch>
                      <a:fillRect/>
                    </a:stretch>
                  </pic:blipFill>
                  <pic:spPr bwMode="auto">
                    <a:xfrm>
                      <a:off x="0" y="0"/>
                      <a:ext cx="5943600" cy="4081846"/>
                    </a:xfrm>
                    <a:prstGeom prst="rect">
                      <a:avLst/>
                    </a:prstGeom>
                    <a:noFill/>
                    <a:ln w="9525">
                      <a:noFill/>
                      <a:headEnd/>
                      <a:tailEnd/>
                    </a:ln>
                  </pic:spPr>
                </pic:pic>
              </a:graphicData>
            </a:graphic>
          </wp:inline>
        </w:drawing>
      </w:r>
      <w:bookmarkEnd w:id="160"/>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4" w:name="fig:pca_cb2_lake"/>
      <w:r>
        <w:drawing>
          <wp:inline>
            <wp:extent cx="5943600" cy="4126587"/>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2" name="Picture"/>
            <a:graphic>
              <a:graphicData uri="http://schemas.openxmlformats.org/drawingml/2006/picture">
                <pic:pic>
                  <pic:nvPicPr>
                    <pic:cNvPr descr="images/PCA_CB2_Plot_Lake.png" id="163" name="Picture"/>
                    <pic:cNvPicPr>
                      <a:picLocks noChangeArrowheads="1" noChangeAspect="1"/>
                    </pic:cNvPicPr>
                  </pic:nvPicPr>
                  <pic:blipFill>
                    <a:blip r:embed="rId161"/>
                    <a:stretch>
                      <a:fillRect/>
                    </a:stretch>
                  </pic:blipFill>
                  <pic:spPr bwMode="auto">
                    <a:xfrm>
                      <a:off x="0" y="0"/>
                      <a:ext cx="5943600" cy="4126587"/>
                    </a:xfrm>
                    <a:prstGeom prst="rect">
                      <a:avLst/>
                    </a:prstGeom>
                    <a:noFill/>
                    <a:ln w="9525">
                      <a:noFill/>
                      <a:headEnd/>
                      <a:tailEnd/>
                    </a:ln>
                  </pic:spPr>
                </pic:pic>
              </a:graphicData>
            </a:graphic>
          </wp:inline>
        </w:drawing>
      </w:r>
      <w:bookmarkEnd w:id="164"/>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5"/>
    <w:bookmarkEnd w:id="166"/>
    <w:bookmarkStart w:id="171" w:name="discussion"/>
    <w:p>
      <w:pPr>
        <w:pStyle w:val="Heading2"/>
      </w:pPr>
      <w:r>
        <w:t xml:space="preserve">Discussion</w:t>
      </w:r>
    </w:p>
    <w:bookmarkStart w:id="167" w:name="data-acquisition"/>
    <w:p>
      <w:pPr>
        <w:pStyle w:val="Heading3"/>
      </w:pPr>
      <w:r>
        <w:t xml:space="preserve">Data acquisition</w:t>
      </w:r>
    </w:p>
    <w:p>
      <w:pPr>
        <w:pStyle w:val="FirstParagraph"/>
      </w:pPr>
      <w:r>
        <w:t xml:space="preserve">The main driver for developing our pipeline was efficient use of both machine-time and human time in this project.</w:t>
      </w:r>
    </w:p>
    <w:p>
      <w:pPr>
        <w:pStyle w:val="BodyText"/>
      </w:pPr>
      <w:r>
        <w:t xml:space="preserve">At the voxel size needed to unambiguously resolve the branchial skeleton (less than 20 µm, as determined in pilot experiments), the time needed for acquisition of a tomographic scan is determined by the number of projections and exposure time, not by the number of fish in the field of view.</w:t>
      </w:r>
      <w:r>
        <w:t xml:space="preserve"> </w:t>
      </w:r>
      <w:r>
        <w:t xml:space="preserve">Efficiently</w:t>
      </w:r>
      <w:r>
        <w:t xml:space="preserve"> </w:t>
      </w:r>
      <w:r>
        <w:t xml:space="preserve">“</w:t>
      </w:r>
      <w:r>
        <w:t xml:space="preserve">filling</w:t>
      </w:r>
      <w:r>
        <w:t xml:space="preserve">”</w:t>
      </w:r>
      <w:r>
        <w:t xml:space="preserve"> </w:t>
      </w:r>
      <w:r>
        <w:t xml:space="preserve">the field of view of the scanner with as many fish as possible in one scan enabled us to scan a total of 215 unique specimens in 38 different scans with a total scan duration of 16 days.</w:t>
      </w:r>
      <w:r>
        <w:t xml:space="preserve"> </w:t>
      </w:r>
      <w:r>
        <w:t xml:space="preserve">If we would have scanned each specimen individually, we would have required about 90 days of scan time; while not impossible, this would have increased the intstrument time and its costs severalfold.</w:t>
      </w:r>
    </w:p>
    <w:p>
      <w:pPr>
        <w:pStyle w:val="BodyText"/>
      </w:pPr>
      <w:r>
        <w:t xml:space="preserve">Scanning up to six fish at once makes efficient use of the scanner, but does shift the effort to the processing of the data, since each scan has to be separated into single-fish datasets.</w:t>
      </w:r>
      <w:r>
        <w:t xml:space="preserve"> </w:t>
      </w:r>
      <w:r>
        <w:t xml:space="preserve">Since our pipeline fully automates the separation (see</w:t>
      </w:r>
      <w:r>
        <w:t xml:space="preserve"> </w:t>
      </w:r>
      <w:hyperlink w:anchor="fish-separation">
        <w:r>
          <w:rPr>
            <w:rStyle w:val="Hyperlink"/>
          </w:rPr>
          <w:t xml:space="preserve">Fish Separation</w:t>
        </w:r>
      </w:hyperlink>
      <w:r>
        <w:t xml:space="preserve">) reproducibly, this shift of effort is cost-effective.</w:t>
      </w:r>
    </w:p>
    <w:bookmarkEnd w:id="167"/>
    <w:bookmarkStart w:id="168" w:name="pipeline-and-efficiency"/>
    <w:p>
      <w:pPr>
        <w:pStyle w:val="Heading3"/>
      </w:pPr>
      <w:r>
        <w:t xml:space="preserve">Pipeline and Efficiency</w:t>
      </w:r>
    </w:p>
    <w:p>
      <w:pPr>
        <w:pStyle w:val="FirstParagraph"/>
      </w:pPr>
      <w:r>
        <w:t xml:space="preserve">Once all components of the pipeline are combined, running a simple script enables automatic separation,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r>
        <w:t xml:space="preserve"> </w:t>
      </w:r>
      <w:r>
        <w:t xml:space="preserve">Adding more (multi-specimen) scans to the pipeline does</w:t>
      </w:r>
      <w:r>
        <w:t xml:space="preserve"> </w:t>
      </w:r>
      <w:r>
        <w:rPr>
          <w:iCs/>
          <w:i/>
        </w:rPr>
        <w:t xml:space="preserve">not</w:t>
      </w:r>
      <w:r>
        <w:t xml:space="preserve"> </w:t>
      </w:r>
      <w:r>
        <w:t xml:space="preserve">increase the time users have to spend on manually separating these scan into single fish regions.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8"/>
    <w:bookmarkStart w:id="169"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69"/>
    <w:bookmarkStart w:id="170"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0"/>
    <w:bookmarkEnd w:id="171"/>
    <w:bookmarkStart w:id="172"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2"/>
    <w:bookmarkStart w:id="188" w:name="authors-contributions"/>
    <w:p>
      <w:pPr>
        <w:pStyle w:val="Heading2"/>
      </w:pPr>
      <w:r>
        <w:t xml:space="preserve">Authors’ Contributions</w:t>
      </w:r>
    </w:p>
    <w:p>
      <w:pPr>
        <w:pStyle w:val="FirstParagraph"/>
      </w:pPr>
      <w:hyperlink r:id="rId173">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4">
        <w:r>
          <w:rPr>
            <w:rStyle w:val="Hyperlink"/>
          </w:rPr>
          <w:t xml:space="preserve">Conceptualization</w:t>
        </w:r>
      </w:hyperlink>
      <w:r>
        <w:t xml:space="preserve">: R. Benjamin Sulser, Sheila Christen, Ruslan Hlushchuk</w:t>
      </w:r>
    </w:p>
    <w:p>
      <w:pPr>
        <w:numPr>
          <w:ilvl w:val="0"/>
          <w:numId w:val="1002"/>
        </w:numPr>
        <w:pStyle w:val="Compact"/>
      </w:pPr>
      <w:hyperlink r:id="rId175">
        <w:r>
          <w:rPr>
            <w:rStyle w:val="Hyperlink"/>
          </w:rPr>
          <w:t xml:space="preserve">Data curation</w:t>
        </w:r>
      </w:hyperlink>
      <w:r>
        <w:t xml:space="preserve">: David Haberthür, R. Benjamin Sulser, Sheila Christen</w:t>
      </w:r>
    </w:p>
    <w:p>
      <w:pPr>
        <w:numPr>
          <w:ilvl w:val="0"/>
          <w:numId w:val="1002"/>
        </w:numPr>
        <w:pStyle w:val="Compact"/>
      </w:pPr>
      <w:hyperlink r:id="rId176">
        <w:r>
          <w:rPr>
            <w:rStyle w:val="Hyperlink"/>
          </w:rPr>
          <w:t xml:space="preserve">Formal analysis</w:t>
        </w:r>
      </w:hyperlink>
      <w:r>
        <w:t xml:space="preserve">: David Haberthür, R. Benjamin Sulser, Sheila Christen</w:t>
      </w:r>
    </w:p>
    <w:p>
      <w:pPr>
        <w:numPr>
          <w:ilvl w:val="0"/>
          <w:numId w:val="1002"/>
        </w:numPr>
        <w:pStyle w:val="Compact"/>
      </w:pPr>
      <w:hyperlink r:id="rId177">
        <w:r>
          <w:rPr>
            <w:rStyle w:val="Hyperlink"/>
          </w:rPr>
          <w:t xml:space="preserve">Funding acquisition</w:t>
        </w:r>
      </w:hyperlink>
      <w:r>
        <w:t xml:space="preserve">: R. Benjamin Sulser, Catherine L. Peichel, Ruslan Hlushchuk</w:t>
      </w:r>
    </w:p>
    <w:p>
      <w:pPr>
        <w:numPr>
          <w:ilvl w:val="0"/>
          <w:numId w:val="1002"/>
        </w:numPr>
        <w:pStyle w:val="Compact"/>
      </w:pPr>
      <w:hyperlink r:id="rId178">
        <w:r>
          <w:rPr>
            <w:rStyle w:val="Hyperlink"/>
          </w:rPr>
          <w:t xml:space="preserve">Investigation</w:t>
        </w:r>
      </w:hyperlink>
      <w:r>
        <w:t xml:space="preserve">: David Haberthür, R. Benjamin Sulser, Sheila Christen</w:t>
      </w:r>
    </w:p>
    <w:p>
      <w:pPr>
        <w:numPr>
          <w:ilvl w:val="0"/>
          <w:numId w:val="1002"/>
        </w:numPr>
        <w:pStyle w:val="Compact"/>
      </w:pPr>
      <w:hyperlink r:id="rId179">
        <w:r>
          <w:rPr>
            <w:rStyle w:val="Hyperlink"/>
          </w:rPr>
          <w:t xml:space="preserve">Methodology</w:t>
        </w:r>
      </w:hyperlink>
      <w:r>
        <w:t xml:space="preserve">: David Haberthür, R. Benjamin Sulser, Sheila Christen, Ruslan Hlushchuk</w:t>
      </w:r>
    </w:p>
    <w:p>
      <w:pPr>
        <w:numPr>
          <w:ilvl w:val="0"/>
          <w:numId w:val="1002"/>
        </w:numPr>
        <w:pStyle w:val="Compact"/>
      </w:pPr>
      <w:hyperlink r:id="rId180">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1">
        <w:r>
          <w:rPr>
            <w:rStyle w:val="Hyperlink"/>
          </w:rPr>
          <w:t xml:space="preserve">Resources</w:t>
        </w:r>
      </w:hyperlink>
      <w:r>
        <w:t xml:space="preserve">: R. Benjamin Sulser, Ruslan Hlushchuk</w:t>
      </w:r>
    </w:p>
    <w:p>
      <w:pPr>
        <w:numPr>
          <w:ilvl w:val="0"/>
          <w:numId w:val="1002"/>
        </w:numPr>
        <w:pStyle w:val="Compact"/>
      </w:pPr>
      <w:hyperlink r:id="rId182">
        <w:r>
          <w:rPr>
            <w:rStyle w:val="Hyperlink"/>
          </w:rPr>
          <w:t xml:space="preserve">Software</w:t>
        </w:r>
      </w:hyperlink>
      <w:r>
        <w:t xml:space="preserve">: David Haberthür, R. Benjamin Sulser</w:t>
      </w:r>
    </w:p>
    <w:p>
      <w:pPr>
        <w:numPr>
          <w:ilvl w:val="0"/>
          <w:numId w:val="1002"/>
        </w:numPr>
        <w:pStyle w:val="Compact"/>
      </w:pPr>
      <w:hyperlink r:id="rId183">
        <w:r>
          <w:rPr>
            <w:rStyle w:val="Hyperlink"/>
          </w:rPr>
          <w:t xml:space="preserve">Supervision</w:t>
        </w:r>
      </w:hyperlink>
      <w:r>
        <w:t xml:space="preserve">: R. Benjamin Sulser, Catherine L. Peichel, Ruslan Hlushchuk</w:t>
      </w:r>
    </w:p>
    <w:p>
      <w:pPr>
        <w:numPr>
          <w:ilvl w:val="0"/>
          <w:numId w:val="1002"/>
        </w:numPr>
        <w:pStyle w:val="Compact"/>
      </w:pPr>
      <w:hyperlink r:id="rId184">
        <w:r>
          <w:rPr>
            <w:rStyle w:val="Hyperlink"/>
          </w:rPr>
          <w:t xml:space="preserve">Validation</w:t>
        </w:r>
      </w:hyperlink>
      <w:r>
        <w:t xml:space="preserve">: David Haberthür, R. Benjamin Sulser, Sheila Christen</w:t>
      </w:r>
    </w:p>
    <w:p>
      <w:pPr>
        <w:numPr>
          <w:ilvl w:val="0"/>
          <w:numId w:val="1002"/>
        </w:numPr>
        <w:pStyle w:val="Compact"/>
      </w:pPr>
      <w:hyperlink r:id="rId185">
        <w:r>
          <w:rPr>
            <w:rStyle w:val="Hyperlink"/>
          </w:rPr>
          <w:t xml:space="preserve">Visualization</w:t>
        </w:r>
      </w:hyperlink>
      <w:r>
        <w:t xml:space="preserve">: David Haberthür, R. Benjamin Sulser, Sheila Christen</w:t>
      </w:r>
    </w:p>
    <w:p>
      <w:pPr>
        <w:numPr>
          <w:ilvl w:val="0"/>
          <w:numId w:val="1002"/>
        </w:numPr>
        <w:pStyle w:val="Compact"/>
      </w:pPr>
      <w:hyperlink r:id="rId186">
        <w:r>
          <w:rPr>
            <w:rStyle w:val="Hyperlink"/>
          </w:rPr>
          <w:t xml:space="preserve">Writing – original draft</w:t>
        </w:r>
      </w:hyperlink>
      <w:r>
        <w:t xml:space="preserve">: David Haberthür, R. Benjamin Sulser</w:t>
      </w:r>
    </w:p>
    <w:p>
      <w:pPr>
        <w:numPr>
          <w:ilvl w:val="0"/>
          <w:numId w:val="1002"/>
        </w:numPr>
        <w:pStyle w:val="Compact"/>
      </w:pPr>
      <w:hyperlink r:id="rId187">
        <w:r>
          <w:rPr>
            <w:rStyle w:val="Hyperlink"/>
          </w:rPr>
          <w:t xml:space="preserve">Writing – review &amp; editing</w:t>
        </w:r>
      </w:hyperlink>
      <w:r>
        <w:t xml:space="preserve">: David Haberthür, R. Benjamin Sulser, Sheila Christen, Catherine L. Peichel, Ruslan Hlushchuk</w:t>
      </w:r>
    </w:p>
    <w:bookmarkEnd w:id="188"/>
    <w:bookmarkStart w:id="190" w:name="use-of-ai-tools"/>
    <w:p>
      <w:pPr>
        <w:pStyle w:val="Heading2"/>
      </w:pPr>
      <w:r>
        <w:t xml:space="preserve">Use of AI tools</w:t>
      </w:r>
    </w:p>
    <w:p>
      <w:pPr>
        <w:pStyle w:val="FirstParagraph"/>
      </w:pPr>
      <w:r>
        <w:t xml:space="preserve">Large language models were used to identify spelling and grammatical errors and to suggest wording for individual sentences during the revision, to assist with writing and debugging the analysis code,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all suggestions, selectively incorporated them, and take full responsibility for the content of the manuscript and the code.</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7" w:name="supplementary-materials"/>
    <w:p>
      <w:pPr>
        <w:pStyle w:val="Heading2"/>
      </w:pPr>
      <w:r>
        <w:t xml:space="preserve">Supplementary Materials</w:t>
      </w:r>
    </w:p>
    <w:bookmarkStart w:id="198" w:name="supplementary-figure"/>
    <w:p>
      <w:pPr>
        <w:pStyle w:val="Heading3"/>
      </w:pPr>
      <w:r>
        <w:t xml:space="preserve">Supplementary figure</w:t>
      </w:r>
    </w:p>
    <w:bookmarkStart w:id="0" w:name="fig:pc4"/>
    <w:p>
      <w:pPr>
        <w:pStyle w:val="CaptionedFigure"/>
      </w:pPr>
      <w:bookmarkStart w:id="197" w:name="fig:pc4"/>
      <w:r>
        <w:drawing>
          <wp:inline>
            <wp:extent cx="5943600" cy="4136942"/>
            <wp:effectExtent b="0" l="0" r="0" t="0"/>
            <wp:docPr descr="Figure 14: 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136942"/>
                    </a:xfrm>
                    <a:prstGeom prst="rect">
                      <a:avLst/>
                    </a:prstGeom>
                    <a:noFill/>
                    <a:ln w="9525">
                      <a:noFill/>
                      <a:headEnd/>
                      <a:tailEnd/>
                    </a:ln>
                  </pic:spPr>
                </pic:pic>
              </a:graphicData>
            </a:graphic>
          </wp:inline>
        </w:drawing>
      </w:r>
      <w:bookmarkEnd w:id="197"/>
    </w:p>
    <w:p>
      <w:pPr>
        <w:pStyle w:val="ImageCaption"/>
      </w:pPr>
      <w:r>
        <w:t xml:space="preserve">Figure 14: PCA of first ceratobranchial.</w:t>
      </w:r>
      <w:r>
        <w:t xml:space="preserve"> </w:t>
      </w:r>
      <w:r>
        <w:t xml:space="preserve">PC4 accounts for 4.33% of the variation.</w:t>
      </w:r>
    </w:p>
    <w:bookmarkEnd w:id="0"/>
    <w:bookmarkEnd w:id="198"/>
    <w:bookmarkStart w:id="202"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9">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200">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1">
        <w:r>
          <w:rPr>
            <w:rStyle w:val="Hyperlink"/>
          </w:rPr>
          <w:t xml:space="preserve">folder in the data processing repository</w:t>
        </w:r>
      </w:hyperlink>
      <w:r>
        <w:t xml:space="preserve"> </w:t>
      </w:r>
      <w:r>
        <w:t xml:space="preserve">of this project.</w:t>
      </w:r>
    </w:p>
    <w:bookmarkEnd w:id="202"/>
    <w:bookmarkStart w:id="216" w:name="analysis-scripts"/>
    <w:p>
      <w:pPr>
        <w:pStyle w:val="Heading3"/>
      </w:pPr>
      <w:r>
        <w:t xml:space="preserve">Analysis Scripts</w:t>
      </w:r>
    </w:p>
    <w:bookmarkStart w:id="205"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3">
        <w:r>
          <w:rPr>
            <w:rStyle w:val="Hyperlink"/>
          </w:rPr>
          <w:t xml:space="preserve">on GitHub</w:t>
        </w:r>
      </w:hyperlink>
      <w:r>
        <w:t xml:space="preserve"> </w:t>
      </w:r>
      <w:r>
        <w:t xml:space="preserve">and can be previewed with</w:t>
      </w:r>
      <w:r>
        <w:t xml:space="preserve"> </w:t>
      </w:r>
      <w:hyperlink r:id="rId204">
        <w:r>
          <w:rPr>
            <w:rStyle w:val="Hyperlink"/>
          </w:rPr>
          <w:t xml:space="preserve">nbviewer</w:t>
        </w:r>
      </w:hyperlink>
      <w:r>
        <w:t xml:space="preserve">.</w:t>
      </w:r>
    </w:p>
    <w:bookmarkEnd w:id="205"/>
    <w:bookmarkStart w:id="208"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206">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7">
        <w:r>
          <w:rPr>
            <w:rStyle w:val="Hyperlink"/>
          </w:rPr>
          <w:t xml:space="preserve">a collection at MorphoSource</w:t>
        </w:r>
      </w:hyperlink>
      <w:r>
        <w:t xml:space="preserve"> </w:t>
      </w:r>
      <w:r>
        <w:t xml:space="preserve">and can be downloaded on request.</w:t>
      </w:r>
    </w:p>
    <w:bookmarkEnd w:id="208"/>
    <w:bookmarkStart w:id="211" w:name="d-slicer-extraction"/>
    <w:p>
      <w:pPr>
        <w:pStyle w:val="Heading4"/>
      </w:pPr>
      <w:r>
        <w:t xml:space="preserve">3D Slicer; Extraction</w:t>
      </w:r>
    </w:p>
    <w:p>
      <w:pPr>
        <w:pStyle w:val="FirstParagraph"/>
      </w:pPr>
      <w:r>
        <w:t xml:space="preserve">The Python script we used to resample curves is found</w:t>
      </w:r>
      <w:r>
        <w:t xml:space="preserve"> </w:t>
      </w:r>
      <w:hyperlink r:id="rId209">
        <w:r>
          <w:rPr>
            <w:rStyle w:val="Hyperlink"/>
          </w:rPr>
          <w:t xml:space="preserve">online on GitHub</w:t>
        </w:r>
      </w:hyperlink>
      <w:r>
        <w:t xml:space="preserve">.</w:t>
      </w:r>
      <w:r>
        <w:t xml:space="preserve"> </w:t>
      </w:r>
      <w:r>
        <w:t xml:space="preserve">The result of the resampling is also available</w:t>
      </w:r>
      <w:r>
        <w:t xml:space="preserve"> </w:t>
      </w:r>
      <w:hyperlink r:id="rId210">
        <w:r>
          <w:rPr>
            <w:rStyle w:val="Hyperlink"/>
          </w:rPr>
          <w:t xml:space="preserve">online</w:t>
        </w:r>
      </w:hyperlink>
      <w:r>
        <w:t xml:space="preserve">.</w:t>
      </w:r>
    </w:p>
    <w:bookmarkEnd w:id="211"/>
    <w:bookmarkStart w:id="213" w:name="r-morphometrics"/>
    <w:p>
      <w:pPr>
        <w:pStyle w:val="Heading4"/>
      </w:pPr>
      <w:r>
        <w:t xml:space="preserve">R; Morphometrics</w:t>
      </w:r>
    </w:p>
    <w:p>
      <w:pPr>
        <w:pStyle w:val="FirstParagraph"/>
      </w:pPr>
      <w:r>
        <w:t xml:space="preserve">The R script we used to assess the morphometrics is available</w:t>
      </w:r>
      <w:r>
        <w:t xml:space="preserve"> </w:t>
      </w:r>
      <w:hyperlink r:id="rId212">
        <w:r>
          <w:rPr>
            <w:rStyle w:val="Hyperlink"/>
          </w:rPr>
          <w:t xml:space="preserve">online on GitHub</w:t>
        </w:r>
      </w:hyperlink>
      <w:r>
        <w:t xml:space="preserve">.</w:t>
      </w:r>
    </w:p>
    <w:bookmarkEnd w:id="213"/>
    <w:bookmarkStart w:id="215" w:name="supplementary-figure-1"/>
    <w:p>
      <w:pPr>
        <w:pStyle w:val="Heading4"/>
      </w:pPr>
      <w:r>
        <w:t xml:space="preserve">Supplementary Figure</w:t>
      </w:r>
    </w:p>
    <w:bookmarkStart w:id="0" w:name="fig:supplement1"/>
    <w:p>
      <w:pPr>
        <w:pStyle w:val="FirstParagraph"/>
      </w:pPr>
      <w:bookmarkStart w:id="214" w:name="fig:supplement1"/>
      <w:r>
        <w:t xml:space="preserve">Figure 15: PCA of CB1 colored by lake ecotype, highlighting PC1 and PC4. Warps are indicated at the extremes of each axis by vectors drawn from a mean shape (red).</w:t>
      </w:r>
      <w:bookmarkEnd w:id="214"/>
    </w:p>
    <w:bookmarkEnd w:id="0"/>
    <w:bookmarkEnd w:id="215"/>
    <w:bookmarkEnd w:id="216"/>
    <w:bookmarkEnd w:id="217"/>
    <w:bookmarkStart w:id="297" w:name="references"/>
    <w:p>
      <w:pPr>
        <w:pStyle w:val="Heading2"/>
      </w:pPr>
      <w:r>
        <w:t xml:space="preserve">References</w:t>
      </w:r>
    </w:p>
    <w:bookmarkStart w:id="296" w:name="refs"/>
    <w:bookmarkStart w:id="219"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8">
        <w:r>
          <w:rPr>
            <w:rStyle w:val="Hyperlink"/>
          </w:rPr>
          <w:t xml:space="preserve">https://doi.org/10.3789/ansi.niso.z39.104-2022</w:t>
        </w:r>
      </w:hyperlink>
    </w:p>
    <w:bookmarkEnd w:id="219"/>
    <w:bookmarkStart w:id="221"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20">
        <w:r>
          <w:rPr>
            <w:rStyle w:val="Hyperlink"/>
          </w:rPr>
          <w:t xml:space="preserve">https://doi.org/10.32614/cran.package.geomorph</w:t>
        </w:r>
      </w:hyperlink>
    </w:p>
    <w:bookmarkEnd w:id="221"/>
    <w:bookmarkStart w:id="223"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2">
        <w:r>
          <w:rPr>
            <w:rStyle w:val="Hyperlink"/>
          </w:rPr>
          <w:t xml:space="preserve">https://doi.org/10.1002/evl3.175</w:t>
        </w:r>
      </w:hyperlink>
    </w:p>
    <w:bookmarkEnd w:id="223"/>
    <w:bookmarkStart w:id="225"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4">
        <w:r>
          <w:rPr>
            <w:rStyle w:val="Hyperlink"/>
          </w:rPr>
          <w:t xml:space="preserve">https://doi.org/10.1111/2041-210x.13723</w:t>
        </w:r>
      </w:hyperlink>
    </w:p>
    <w:bookmarkEnd w:id="225"/>
    <w:bookmarkStart w:id="22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6">
        <w:r>
          <w:rPr>
            <w:rStyle w:val="Hyperlink"/>
          </w:rPr>
          <w:t xml:space="preserve">https://doi.org/10.1093/oso/9780198577287.001.0001</w:t>
        </w:r>
      </w:hyperlink>
    </w:p>
    <w:bookmarkEnd w:id="227"/>
    <w:bookmarkStart w:id="22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8">
        <w:r>
          <w:rPr>
            <w:rStyle w:val="Hyperlink"/>
          </w:rPr>
          <w:t xml:space="preserve">https://doi.org/10.1111/j.1420-9101.2008.01583.x</w:t>
        </w:r>
      </w:hyperlink>
    </w:p>
    <w:bookmarkEnd w:id="229"/>
    <w:bookmarkStart w:id="23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30">
        <w:r>
          <w:rPr>
            <w:rStyle w:val="Hyperlink"/>
          </w:rPr>
          <w:t xml:space="preserve">https://doi.org/10.1371/journal.pone.0193874</w:t>
        </w:r>
      </w:hyperlink>
    </w:p>
    <w:bookmarkEnd w:id="231"/>
    <w:bookmarkStart w:id="233"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2">
        <w:r>
          <w:rPr>
            <w:rStyle w:val="Hyperlink"/>
          </w:rPr>
          <w:t xml:space="preserve">https://doi.org/10.1111/2041-210x.13029</w:t>
        </w:r>
      </w:hyperlink>
    </w:p>
    <w:bookmarkEnd w:id="233"/>
    <w:bookmarkStart w:id="235"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4">
        <w:r>
          <w:rPr>
            <w:rStyle w:val="Hyperlink"/>
          </w:rPr>
          <w:t xml:space="preserve">https://doi.org/10.32614/cran.package.rrpp</w:t>
        </w:r>
      </w:hyperlink>
    </w:p>
    <w:bookmarkEnd w:id="235"/>
    <w:bookmarkStart w:id="237"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6">
        <w:r>
          <w:rPr>
            <w:rStyle w:val="Hyperlink"/>
          </w:rPr>
          <w:t xml:space="preserve">https://dask.org</w:t>
        </w:r>
      </w:hyperlink>
    </w:p>
    <w:bookmarkEnd w:id="237"/>
    <w:bookmarkStart w:id="239"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8">
        <w:r>
          <w:rPr>
            <w:rStyle w:val="Hyperlink"/>
          </w:rPr>
          <w:t xml:space="preserve">https://doi.org/10.5281/zenodo.18257528</w:t>
        </w:r>
      </w:hyperlink>
    </w:p>
    <w:bookmarkEnd w:id="239"/>
    <w:bookmarkStart w:id="241"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40">
        <w:r>
          <w:rPr>
            <w:rStyle w:val="Hyperlink"/>
          </w:rPr>
          <w:t xml:space="preserve">https://doi.org/10.64898/2026.02.04.699496</w:t>
        </w:r>
      </w:hyperlink>
    </w:p>
    <w:bookmarkEnd w:id="241"/>
    <w:bookmarkStart w:id="243"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2">
        <w:r>
          <w:rPr>
            <w:rStyle w:val="Hyperlink"/>
          </w:rPr>
          <w:t xml:space="preserve">https://doi.org/10.3791/54056</w:t>
        </w:r>
      </w:hyperlink>
    </w:p>
    <w:bookmarkEnd w:id="243"/>
    <w:bookmarkStart w:id="245"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4">
        <w:r>
          <w:rPr>
            <w:rStyle w:val="Hyperlink"/>
          </w:rPr>
          <w:t xml:space="preserve">https://doi.org/10.1093/iob/obad008</w:t>
        </w:r>
      </w:hyperlink>
    </w:p>
    <w:bookmarkEnd w:id="245"/>
    <w:bookmarkStart w:id="247"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6">
        <w:r>
          <w:rPr>
            <w:rStyle w:val="Hyperlink"/>
          </w:rPr>
          <w:t xml:space="preserve">https://doi.org/10.5281/zenodo.2587555</w:t>
        </w:r>
      </w:hyperlink>
    </w:p>
    <w:bookmarkEnd w:id="247"/>
    <w:bookmarkStart w:id="249"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8">
        <w:r>
          <w:rPr>
            <w:rStyle w:val="Hyperlink"/>
          </w:rPr>
          <w:t xml:space="preserve">https://doi.org/10.1002/ece3.6929</w:t>
        </w:r>
      </w:hyperlink>
    </w:p>
    <w:bookmarkEnd w:id="249"/>
    <w:bookmarkStart w:id="251"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50">
        <w:r>
          <w:rPr>
            <w:rStyle w:val="Hyperlink"/>
          </w:rPr>
          <w:t xml:space="preserve">https://doi.org/10.1002/ece3.11503</w:t>
        </w:r>
      </w:hyperlink>
    </w:p>
    <w:bookmarkEnd w:id="251"/>
    <w:bookmarkStart w:id="253"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2">
        <w:r>
          <w:rPr>
            <w:rStyle w:val="Hyperlink"/>
          </w:rPr>
          <w:t xml:space="preserve">https://doi.org/10.1111/j.1095-8649.2009.02419.x</w:t>
        </w:r>
      </w:hyperlink>
    </w:p>
    <w:bookmarkEnd w:id="253"/>
    <w:bookmarkStart w:id="255"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4">
        <w:r>
          <w:rPr>
            <w:rStyle w:val="Hyperlink"/>
          </w:rPr>
          <w:t xml:space="preserve">https://doi.org/10.1371/journal.pcbi.1007128</w:t>
        </w:r>
      </w:hyperlink>
    </w:p>
    <w:bookmarkEnd w:id="255"/>
    <w:bookmarkStart w:id="257"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6">
        <w:r>
          <w:rPr>
            <w:rStyle w:val="Hyperlink"/>
          </w:rPr>
          <w:t xml:space="preserve">https://doi.org/10.1007/978-1-4614-7657-3_19</w:t>
        </w:r>
      </w:hyperlink>
    </w:p>
    <w:bookmarkEnd w:id="257"/>
    <w:bookmarkStart w:id="259"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8">
        <w:r>
          <w:rPr>
            <w:rStyle w:val="Hyperlink"/>
          </w:rPr>
          <w:t xml:space="preserve">https://doi.org/10.3233/978-1-61499-649-1-87</w:t>
        </w:r>
      </w:hyperlink>
    </w:p>
    <w:bookmarkEnd w:id="259"/>
    <w:bookmarkStart w:id="261"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60">
        <w:r>
          <w:rPr>
            <w:rStyle w:val="Hyperlink"/>
          </w:rPr>
          <w:t xml:space="preserve">https://doi.org/10.1038/s41467-020-19303-w</w:t>
        </w:r>
      </w:hyperlink>
    </w:p>
    <w:bookmarkEnd w:id="261"/>
    <w:bookmarkStart w:id="263"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2">
        <w:r>
          <w:rPr>
            <w:rStyle w:val="Hyperlink"/>
          </w:rPr>
          <w:t xml:space="preserve">https://doi.org/10.1186/1471-2148-13-277</w:t>
        </w:r>
      </w:hyperlink>
    </w:p>
    <w:bookmarkEnd w:id="263"/>
    <w:bookmarkStart w:id="265"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4">
        <w:r>
          <w:rPr>
            <w:rStyle w:val="Hyperlink"/>
          </w:rPr>
          <w:t xml:space="preserve">https://doi.org/10.1242/jeb.074948</w:t>
        </w:r>
      </w:hyperlink>
    </w:p>
    <w:bookmarkEnd w:id="265"/>
    <w:bookmarkStart w:id="26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6">
        <w:r>
          <w:rPr>
            <w:rStyle w:val="Hyperlink"/>
          </w:rPr>
          <w:t xml:space="preserve">https://doi.org/10.2144/000112619</w:t>
        </w:r>
      </w:hyperlink>
    </w:p>
    <w:bookmarkEnd w:id="267"/>
    <w:bookmarkStart w:id="26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8">
        <w:r>
          <w:rPr>
            <w:rStyle w:val="Hyperlink"/>
          </w:rPr>
          <w:t xml:space="preserve">https://doi.org/10.5281/zenodo.3773450</w:t>
        </w:r>
      </w:hyperlink>
    </w:p>
    <w:bookmarkEnd w:id="269"/>
    <w:bookmarkStart w:id="271" w:name="ref-jxVw2kt2"/>
    <w:p>
      <w:pPr>
        <w:pStyle w:val="Bibliography"/>
      </w:pPr>
      <w:r>
        <w:rPr>
          <w:iCs/>
          <w:i/>
        </w:rPr>
        <w:t xml:space="preserve">Overview</w:t>
      </w:r>
      <w:r>
        <w:t xml:space="preserve">. (n.d.). K3D-Jupyter. Retrieved October 30, 2026, from</w:t>
      </w:r>
      <w:r>
        <w:t xml:space="preserve"> </w:t>
      </w:r>
      <w:hyperlink r:id="rId270">
        <w:r>
          <w:rPr>
            <w:rStyle w:val="Hyperlink"/>
          </w:rPr>
          <w:t xml:space="preserve">https://k3d-jupyter.org/index.html</w:t>
        </w:r>
      </w:hyperlink>
    </w:p>
    <w:bookmarkEnd w:id="271"/>
    <w:bookmarkStart w:id="27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2">
        <w:r>
          <w:rPr>
            <w:rStyle w:val="Hyperlink"/>
          </w:rPr>
          <w:t xml:space="preserve">https://www.R-project.org/</w:t>
        </w:r>
      </w:hyperlink>
    </w:p>
    <w:bookmarkEnd w:id="273"/>
    <w:bookmarkStart w:id="27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4">
        <w:r>
          <w:rPr>
            <w:rStyle w:val="Hyperlink"/>
          </w:rPr>
          <w:t xml:space="preserve">https://doi.org/10.1186/s12915-020-0753-2</w:t>
        </w:r>
      </w:hyperlink>
    </w:p>
    <w:bookmarkEnd w:id="275"/>
    <w:bookmarkStart w:id="27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6">
        <w:r>
          <w:rPr>
            <w:rStyle w:val="Hyperlink"/>
          </w:rPr>
          <w:t xml:space="preserve">https://doi.org/10.1146/annurev-genom-111720-081402</w:t>
        </w:r>
      </w:hyperlink>
    </w:p>
    <w:bookmarkEnd w:id="277"/>
    <w:bookmarkStart w:id="27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8">
        <w:r>
          <w:rPr>
            <w:rStyle w:val="Hyperlink"/>
          </w:rPr>
          <w:t xml:space="preserve">https://doi.org/10.1111/2041-210x.13669</w:t>
        </w:r>
      </w:hyperlink>
    </w:p>
    <w:bookmarkEnd w:id="279"/>
    <w:bookmarkStart w:id="28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80">
        <w:r>
          <w:rPr>
            <w:rStyle w:val="Hyperlink"/>
          </w:rPr>
          <w:t xml:space="preserve">https://doi.org/10.1038/nmeth.2019</w:t>
        </w:r>
      </w:hyperlink>
    </w:p>
    <w:bookmarkEnd w:id="281"/>
    <w:bookmarkStart w:id="28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2">
        <w:r>
          <w:rPr>
            <w:rStyle w:val="Hyperlink"/>
          </w:rPr>
          <w:t xml:space="preserve">https://doi.org/10.1086/285404</w:t>
        </w:r>
      </w:hyperlink>
    </w:p>
    <w:bookmarkEnd w:id="283"/>
    <w:bookmarkStart w:id="28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4">
        <w:r>
          <w:rPr>
            <w:rStyle w:val="Hyperlink"/>
          </w:rPr>
          <w:t xml:space="preserve">https://doi.org/10.5281/zenodo.3555620</w:t>
        </w:r>
      </w:hyperlink>
    </w:p>
    <w:bookmarkEnd w:id="285"/>
    <w:bookmarkStart w:id="28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6">
        <w:r>
          <w:rPr>
            <w:rStyle w:val="Hyperlink"/>
          </w:rPr>
          <w:t xml:space="preserve">https://www.stratovan.com/products/checkpoint</w:t>
        </w:r>
      </w:hyperlink>
    </w:p>
    <w:bookmarkEnd w:id="287"/>
    <w:bookmarkStart w:id="28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8">
        <w:r>
          <w:rPr>
            <w:rStyle w:val="Hyperlink"/>
          </w:rPr>
          <w:t xml:space="preserve">https://doi.org/10.1007/s10228-004-0251-5</w:t>
        </w:r>
      </w:hyperlink>
    </w:p>
    <w:bookmarkEnd w:id="289"/>
    <w:bookmarkStart w:id="29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90">
        <w:r>
          <w:rPr>
            <w:rStyle w:val="Hyperlink"/>
          </w:rPr>
          <w:t xml:space="preserve">https://orbi.uliege.be/handle/2268/14698</w:t>
        </w:r>
      </w:hyperlink>
    </w:p>
    <w:bookmarkEnd w:id="291"/>
    <w:bookmarkStart w:id="29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2">
        <w:r>
          <w:rPr>
            <w:rStyle w:val="Hyperlink"/>
          </w:rPr>
          <w:t xml:space="preserve">https://doi.org/10.1111/j.1095-8312.2010.01531.x</w:t>
        </w:r>
      </w:hyperlink>
    </w:p>
    <w:bookmarkEnd w:id="293"/>
    <w:bookmarkStart w:id="29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4">
        <w:r>
          <w:rPr>
            <w:rStyle w:val="Hyperlink"/>
          </w:rPr>
          <w:t xml:space="preserve">https://doi.org/10.6688/jise.2001.17.5.1</w:t>
        </w:r>
      </w:hyperlink>
    </w:p>
    <w:bookmarkEnd w:id="295"/>
    <w:bookmarkEnd w:id="296"/>
    <w:bookmarkEnd w:id="29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6" Target="https://dask.org" TargetMode="External" /><Relationship Type="http://schemas.openxmlformats.org/officeDocument/2006/relationships/hyperlink" Id="rId250" Target="https://doi.org/10.1002/ece3.11503" TargetMode="External" /><Relationship Type="http://schemas.openxmlformats.org/officeDocument/2006/relationships/hyperlink" Id="rId248" Target="https://doi.org/10.1002/ece3.6929" TargetMode="External" /><Relationship Type="http://schemas.openxmlformats.org/officeDocument/2006/relationships/hyperlink" Id="rId222" Target="https://doi.org/10.1002/evl3.175" TargetMode="External" /><Relationship Type="http://schemas.openxmlformats.org/officeDocument/2006/relationships/hyperlink" Id="rId256" Target="https://doi.org/10.1007/978-1-4614-7657-3_19" TargetMode="External" /><Relationship Type="http://schemas.openxmlformats.org/officeDocument/2006/relationships/hyperlink" Id="rId288" Target="https://doi.org/10.1007/s10228-004-0251-5" TargetMode="External" /><Relationship Type="http://schemas.openxmlformats.org/officeDocument/2006/relationships/hyperlink" Id="rId280" Target="https://doi.org/10.1038/nmeth.2019" TargetMode="External" /><Relationship Type="http://schemas.openxmlformats.org/officeDocument/2006/relationships/hyperlink" Id="rId260" Target="https://doi.org/10.1038/s41467-020-19303-w" TargetMode="External" /><Relationship Type="http://schemas.openxmlformats.org/officeDocument/2006/relationships/hyperlink" Id="rId282" Target="https://doi.org/10.1086/285404" TargetMode="External" /><Relationship Type="http://schemas.openxmlformats.org/officeDocument/2006/relationships/hyperlink" Id="rId244" Target="https://doi.org/10.1093/iob/obad008" TargetMode="External" /><Relationship Type="http://schemas.openxmlformats.org/officeDocument/2006/relationships/hyperlink" Id="rId226" Target="https://doi.org/10.1093/oso/9780198577287.001.0001" TargetMode="External" /><Relationship Type="http://schemas.openxmlformats.org/officeDocument/2006/relationships/hyperlink" Id="rId232" Target="https://doi.org/10.1111/2041-210x.13029" TargetMode="External" /><Relationship Type="http://schemas.openxmlformats.org/officeDocument/2006/relationships/hyperlink" Id="rId278" Target="https://doi.org/10.1111/2041-210x.13669" TargetMode="External" /><Relationship Type="http://schemas.openxmlformats.org/officeDocument/2006/relationships/hyperlink" Id="rId224" Target="https://doi.org/10.1111/2041-210x.13723" TargetMode="External" /><Relationship Type="http://schemas.openxmlformats.org/officeDocument/2006/relationships/hyperlink" Id="rId292" Target="https://doi.org/10.1111/j.1095-8312.2010.01531.x" TargetMode="External" /><Relationship Type="http://schemas.openxmlformats.org/officeDocument/2006/relationships/hyperlink" Id="rId252" Target="https://doi.org/10.1111/j.1095-8649.2009.02419.x" TargetMode="External" /><Relationship Type="http://schemas.openxmlformats.org/officeDocument/2006/relationships/hyperlink" Id="rId228" Target="https://doi.org/10.1111/j.1420-9101.2008.01583.x" TargetMode="External" /><Relationship Type="http://schemas.openxmlformats.org/officeDocument/2006/relationships/hyperlink" Id="rId276" Target="https://doi.org/10.1146/annurev-genom-111720-081402" TargetMode="External" /><Relationship Type="http://schemas.openxmlformats.org/officeDocument/2006/relationships/hyperlink" Id="rId262" Target="https://doi.org/10.1186/1471-2148-13-277" TargetMode="External" /><Relationship Type="http://schemas.openxmlformats.org/officeDocument/2006/relationships/hyperlink" Id="rId274" Target="https://doi.org/10.1186/s12915-020-0753-2" TargetMode="External" /><Relationship Type="http://schemas.openxmlformats.org/officeDocument/2006/relationships/hyperlink" Id="rId264" Target="https://doi.org/10.1242/jeb.074948" TargetMode="External" /><Relationship Type="http://schemas.openxmlformats.org/officeDocument/2006/relationships/hyperlink" Id="rId254" Target="https://doi.org/10.1371/journal.pcbi.1007128" TargetMode="External" /><Relationship Type="http://schemas.openxmlformats.org/officeDocument/2006/relationships/hyperlink" Id="rId230" Target="https://doi.org/10.1371/journal.pone.0193874" TargetMode="External" /><Relationship Type="http://schemas.openxmlformats.org/officeDocument/2006/relationships/hyperlink" Id="rId266" Target="https://doi.org/10.2144/000112619" TargetMode="External" /><Relationship Type="http://schemas.openxmlformats.org/officeDocument/2006/relationships/hyperlink" Id="rId258" Target="https://doi.org/10.3233/978-1-61499-649-1-87" TargetMode="External" /><Relationship Type="http://schemas.openxmlformats.org/officeDocument/2006/relationships/hyperlink" Id="rId220" Target="https://doi.org/10.32614/cran.package.geomorph" TargetMode="External" /><Relationship Type="http://schemas.openxmlformats.org/officeDocument/2006/relationships/hyperlink" Id="rId234" Target="https://doi.org/10.32614/cran.package.rrpp" TargetMode="External" /><Relationship Type="http://schemas.openxmlformats.org/officeDocument/2006/relationships/hyperlink" Id="rId218" Target="https://doi.org/10.3789/ansi.niso.z39.104-2022" TargetMode="External" /><Relationship Type="http://schemas.openxmlformats.org/officeDocument/2006/relationships/hyperlink" Id="rId242" Target="https://doi.org/10.3791/54056" TargetMode="External" /><Relationship Type="http://schemas.openxmlformats.org/officeDocument/2006/relationships/hyperlink" Id="rId238" Target="https://doi.org/10.5281/zenodo.18257528" TargetMode="External" /><Relationship Type="http://schemas.openxmlformats.org/officeDocument/2006/relationships/hyperlink" Id="rId246" Target="https://doi.org/10.5281/zenodo.2587555" TargetMode="External" /><Relationship Type="http://schemas.openxmlformats.org/officeDocument/2006/relationships/hyperlink" Id="rId284" Target="https://doi.org/10.5281/zenodo.3555620" TargetMode="External" /><Relationship Type="http://schemas.openxmlformats.org/officeDocument/2006/relationships/hyperlink" Id="rId268" Target="https://doi.org/10.5281/zenodo.3773450" TargetMode="External" /><Relationship Type="http://schemas.openxmlformats.org/officeDocument/2006/relationships/hyperlink" Id="rId240" Target="https://doi.org/10.64898/2026.02.04.699496" TargetMode="External" /><Relationship Type="http://schemas.openxmlformats.org/officeDocument/2006/relationships/hyperlink" Id="rId29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c3f8d2c9d82944b1550710256046921dd2c57ff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c3f8d2c9d82944b1550710256046921dd2c57ffd"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c3f8d2c9d82944b1550710256046921dd2c57ff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7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9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7" Target="https://www.morphosource.org/projects/000885106" TargetMode="External" /><Relationship Type="http://schemas.openxmlformats.org/officeDocument/2006/relationships/hyperlink" Id="rId28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6" Target="https://dask.org" TargetMode="External" /><Relationship Type="http://schemas.openxmlformats.org/officeDocument/2006/relationships/hyperlink" Id="rId250" Target="https://doi.org/10.1002/ece3.11503" TargetMode="External" /><Relationship Type="http://schemas.openxmlformats.org/officeDocument/2006/relationships/hyperlink" Id="rId248" Target="https://doi.org/10.1002/ece3.6929" TargetMode="External" /><Relationship Type="http://schemas.openxmlformats.org/officeDocument/2006/relationships/hyperlink" Id="rId222" Target="https://doi.org/10.1002/evl3.175" TargetMode="External" /><Relationship Type="http://schemas.openxmlformats.org/officeDocument/2006/relationships/hyperlink" Id="rId256" Target="https://doi.org/10.1007/978-1-4614-7657-3_19" TargetMode="External" /><Relationship Type="http://schemas.openxmlformats.org/officeDocument/2006/relationships/hyperlink" Id="rId288" Target="https://doi.org/10.1007/s10228-004-0251-5" TargetMode="External" /><Relationship Type="http://schemas.openxmlformats.org/officeDocument/2006/relationships/hyperlink" Id="rId280" Target="https://doi.org/10.1038/nmeth.2019" TargetMode="External" /><Relationship Type="http://schemas.openxmlformats.org/officeDocument/2006/relationships/hyperlink" Id="rId260" Target="https://doi.org/10.1038/s41467-020-19303-w" TargetMode="External" /><Relationship Type="http://schemas.openxmlformats.org/officeDocument/2006/relationships/hyperlink" Id="rId282" Target="https://doi.org/10.1086/285404" TargetMode="External" /><Relationship Type="http://schemas.openxmlformats.org/officeDocument/2006/relationships/hyperlink" Id="rId244" Target="https://doi.org/10.1093/iob/obad008" TargetMode="External" /><Relationship Type="http://schemas.openxmlformats.org/officeDocument/2006/relationships/hyperlink" Id="rId226" Target="https://doi.org/10.1093/oso/9780198577287.001.0001" TargetMode="External" /><Relationship Type="http://schemas.openxmlformats.org/officeDocument/2006/relationships/hyperlink" Id="rId232" Target="https://doi.org/10.1111/2041-210x.13029" TargetMode="External" /><Relationship Type="http://schemas.openxmlformats.org/officeDocument/2006/relationships/hyperlink" Id="rId278" Target="https://doi.org/10.1111/2041-210x.13669" TargetMode="External" /><Relationship Type="http://schemas.openxmlformats.org/officeDocument/2006/relationships/hyperlink" Id="rId224" Target="https://doi.org/10.1111/2041-210x.13723" TargetMode="External" /><Relationship Type="http://schemas.openxmlformats.org/officeDocument/2006/relationships/hyperlink" Id="rId292" Target="https://doi.org/10.1111/j.1095-8312.2010.01531.x" TargetMode="External" /><Relationship Type="http://schemas.openxmlformats.org/officeDocument/2006/relationships/hyperlink" Id="rId252" Target="https://doi.org/10.1111/j.1095-8649.2009.02419.x" TargetMode="External" /><Relationship Type="http://schemas.openxmlformats.org/officeDocument/2006/relationships/hyperlink" Id="rId228" Target="https://doi.org/10.1111/j.1420-9101.2008.01583.x" TargetMode="External" /><Relationship Type="http://schemas.openxmlformats.org/officeDocument/2006/relationships/hyperlink" Id="rId276" Target="https://doi.org/10.1146/annurev-genom-111720-081402" TargetMode="External" /><Relationship Type="http://schemas.openxmlformats.org/officeDocument/2006/relationships/hyperlink" Id="rId262" Target="https://doi.org/10.1186/1471-2148-13-277" TargetMode="External" /><Relationship Type="http://schemas.openxmlformats.org/officeDocument/2006/relationships/hyperlink" Id="rId274" Target="https://doi.org/10.1186/s12915-020-0753-2" TargetMode="External" /><Relationship Type="http://schemas.openxmlformats.org/officeDocument/2006/relationships/hyperlink" Id="rId264" Target="https://doi.org/10.1242/jeb.074948" TargetMode="External" /><Relationship Type="http://schemas.openxmlformats.org/officeDocument/2006/relationships/hyperlink" Id="rId254" Target="https://doi.org/10.1371/journal.pcbi.1007128" TargetMode="External" /><Relationship Type="http://schemas.openxmlformats.org/officeDocument/2006/relationships/hyperlink" Id="rId230" Target="https://doi.org/10.1371/journal.pone.0193874" TargetMode="External" /><Relationship Type="http://schemas.openxmlformats.org/officeDocument/2006/relationships/hyperlink" Id="rId266" Target="https://doi.org/10.2144/000112619" TargetMode="External" /><Relationship Type="http://schemas.openxmlformats.org/officeDocument/2006/relationships/hyperlink" Id="rId258" Target="https://doi.org/10.3233/978-1-61499-649-1-87" TargetMode="External" /><Relationship Type="http://schemas.openxmlformats.org/officeDocument/2006/relationships/hyperlink" Id="rId220" Target="https://doi.org/10.32614/cran.package.geomorph" TargetMode="External" /><Relationship Type="http://schemas.openxmlformats.org/officeDocument/2006/relationships/hyperlink" Id="rId234" Target="https://doi.org/10.32614/cran.package.rrpp" TargetMode="External" /><Relationship Type="http://schemas.openxmlformats.org/officeDocument/2006/relationships/hyperlink" Id="rId218" Target="https://doi.org/10.3789/ansi.niso.z39.104-2022" TargetMode="External" /><Relationship Type="http://schemas.openxmlformats.org/officeDocument/2006/relationships/hyperlink" Id="rId242" Target="https://doi.org/10.3791/54056" TargetMode="External" /><Relationship Type="http://schemas.openxmlformats.org/officeDocument/2006/relationships/hyperlink" Id="rId238" Target="https://doi.org/10.5281/zenodo.18257528" TargetMode="External" /><Relationship Type="http://schemas.openxmlformats.org/officeDocument/2006/relationships/hyperlink" Id="rId246" Target="https://doi.org/10.5281/zenodo.2587555" TargetMode="External" /><Relationship Type="http://schemas.openxmlformats.org/officeDocument/2006/relationships/hyperlink" Id="rId284" Target="https://doi.org/10.5281/zenodo.3555620" TargetMode="External" /><Relationship Type="http://schemas.openxmlformats.org/officeDocument/2006/relationships/hyperlink" Id="rId268" Target="https://doi.org/10.5281/zenodo.3773450" TargetMode="External" /><Relationship Type="http://schemas.openxmlformats.org/officeDocument/2006/relationships/hyperlink" Id="rId240" Target="https://doi.org/10.64898/2026.02.04.699496" TargetMode="External" /><Relationship Type="http://schemas.openxmlformats.org/officeDocument/2006/relationships/hyperlink" Id="rId29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c3f8d2c9d82944b1550710256046921dd2c57ff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c3f8d2c9d82944b1550710256046921dd2c57ffd"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c3f8d2c9d82944b1550710256046921dd2c57ff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7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9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7" Target="https://www.morphosource.org/projects/000885106" TargetMode="External" /><Relationship Type="http://schemas.openxmlformats.org/officeDocument/2006/relationships/hyperlink" Id="rId28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2026-10-30T15:48:16Z</dcterms:created>
  <dcterms:modified xsi:type="dcterms:W3CDTF">2026-10-30T15:48:16Z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