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49.png" ContentType="image/png"/>
  <Override PartName="/word/media/rId157.png" ContentType="image/png"/>
  <Override PartName="/word/media/rId153.png" ContentType="image/png"/>
  <Override PartName="/word/media/rId161.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210.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habi/sticklebacks-manuscript@0284632</w:t>
        </w:r>
      </w:hyperlink>
      <w:r>
        <w:t xml:space="preserve"> </w:t>
      </w:r>
      <w:r>
        <w:t xml:space="preserve">on October 30, 2026 and contains 6468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in theory, each specimen could be scanned individually, performing hundreds of scans of individual specimens would represent a large drain of time and resources.</w:t>
      </w:r>
      <w:r>
        <w:t xml:space="preserve"> </w:t>
      </w:r>
      <w:r>
        <w:t xml:space="preserve">Instead many investigators and tomography institutes choose to scan several specimens at once in a</w:t>
      </w:r>
      <w:r>
        <w:t xml:space="preserve"> </w:t>
      </w:r>
      <w:r>
        <w:t xml:space="preserve">“</w:t>
      </w:r>
      <w:r>
        <w:t xml:space="preserve">multiscan</w:t>
      </w:r>
      <w:r>
        <w:t xml:space="preserve">”</w:t>
      </w:r>
      <w:r>
        <w:t xml:space="preserve"> </w:t>
      </w:r>
      <w:r>
        <w:t xml:space="preserve">format.</w:t>
      </w:r>
      <w:r>
        <w:t xml:space="preserve"> </w:t>
      </w:r>
      <w:r>
        <w:t xml:space="preserve">Although efficient in terms of beam time and number of individuals per scan, multiscans result in considerably larger datasets that must be partitioned correctly with respect to each individual specimen prior to downstream analysis.</w:t>
      </w:r>
      <w:r>
        <w:t xml:space="preserve"> </w:t>
      </w:r>
      <w:r>
        <w:t xml:space="preserve">This creates a bottleneck for large-scale research where sizable multiscans bloat processing time, in addition to potential risks regarding errors with specimen splitting and specimen identification.</w:t>
      </w:r>
    </w:p>
    <w:p>
      <w:pPr>
        <w:pStyle w:val="BodyText"/>
      </w:pPr>
      <w:r>
        <w:t xml:space="preserve">Furthermore, once partitioned,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yet the time and resources required per sample make this approach, too, infeasible for population-level and evolutionary studies.</w:t>
      </w:r>
      <w:r>
        <w:t xml:space="preserve"> </w:t>
      </w:r>
      <w:r>
        <w:t xml:space="preserve">Accessing these structures instead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58379"/>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58379"/>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may be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p>
    <w:p>
      <w:pPr>
        <w:pStyle w:val="BodyText"/>
      </w:pP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Fish were taken out of single, labeled Falcon tubes, wrapped in melamine resin foam (virtually radiotransparent, but stable) and put head-first into the labeled compartments of the sample holder.</w:t>
      </w:r>
      <w:r>
        <w:t xml:space="preserve"> </w:t>
      </w:r>
      <w:r>
        <w:t xml:space="preserve">The foam was moistened with formalin and the top of the sample holder was sealed with Parafilm to avoid drying of the fish during the tomographic imaging.</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Setting different voltage and current for one scan had no discernible influence on the downstream pipeline, since the segmentation of the features of interest was performed semi-automatically, as explained later.</w:t>
      </w:r>
      <w:r>
        <w:t xml:space="preserve"> </w:t>
      </w:r>
      <w:r>
        <w:t xml:space="preserve">For each scan,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32026"/>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32026"/>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0802"/>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0802"/>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w:t>
      </w:r>
      <w:hyperlink r:id="rId103">
        <w:r>
          <w:rPr>
            <w:rStyle w:val="VerbatimChar"/>
          </w:rPr>
          <w:t xml:space="preserve">skimage.measure.label</w:t>
        </w:r>
      </w:hyperlink>
      <w:r>
        <w:t xml:space="preserve">) of the previously extracted MIP images was used to detect the single fish in their compartments (see right panel of Figure</w:t>
      </w:r>
      <w:r>
        <w:t xml:space="preserve"> </w:t>
      </w:r>
      <w:hyperlink w:anchor="fig:labels">
        <w:r>
          <w:rPr>
            <w:rStyle w:val="Hyperlink"/>
          </w:rPr>
          <w:t xml:space="preserve">4</w:t>
        </w:r>
      </w:hyperlink>
      <w:r>
        <w:t xml:space="preserve">).</w:t>
      </w:r>
      <w:r>
        <w:t xml:space="preserve"> </w:t>
      </w:r>
      <w:r>
        <w:t xml:space="preserve">The 3D-printed compartment labels of the sample holder were detected in the same way and are highlighted in yellow in the left panel of Figure</w:t>
      </w:r>
      <w:r>
        <w:t xml:space="preserve"> </w:t>
      </w:r>
      <w:hyperlink w:anchor="fig:labels">
        <w:r>
          <w:rPr>
            <w:rStyle w:val="Hyperlink"/>
          </w:rPr>
          <w:t xml:space="preserve">4</w:t>
        </w:r>
      </w:hyperlink>
      <w:r>
        <w:t xml:space="preserve">.</w:t>
      </w:r>
      <w:r>
        <w:t xml:space="preserve"> </w:t>
      </w:r>
      <w:r>
        <w:t xml:space="preserve">Since</w:t>
      </w:r>
      <w:r>
        <w:t xml:space="preserve"> </w:t>
      </w:r>
      <w:r>
        <w:rPr>
          <w:rStyle w:val="VerbatimChar"/>
        </w:rPr>
        <w:t xml:space="preserve">skimage</w:t>
      </w:r>
      <w:r>
        <w:t xml:space="preserve"> </w:t>
      </w:r>
      <w:r>
        <w:t xml:space="preserve">numbers the detected regions in raster order (top to bottom, left to right), this numbering depends on the exact position of each fish within its compartment.</w:t>
      </w:r>
      <w:r>
        <w:t xml:space="preserve"> </w:t>
      </w:r>
      <w:r>
        <w:t xml:space="preserve">Due to a slight tilt of the sample holder in the scanner and inconsistent size of the single fish, the detected numbering does not consistently follow the 3D-printed compartment numbering.</w:t>
      </w:r>
      <w:r>
        <w:t xml:space="preserve"> </w:t>
      </w:r>
      <w:r>
        <w:t xml:space="preserve">We thus assigned each detected region to a compartment based on the angle of its centroid (</w:t>
      </w:r>
      <w:hyperlink r:id="rId104">
        <w:r>
          <w:rPr>
            <w:rStyle w:val="VerbatimChar"/>
          </w:rPr>
          <w:t xml:space="preserve">skimage.measure.regionprops</w:t>
        </w:r>
      </w:hyperlink>
      <w:r>
        <w:t xml:space="preserve">) around the rotation axis of the scan, which coincides with the center of the sample holder.</w:t>
      </w:r>
      <w:r>
        <w:t xml:space="preserve"> </w:t>
      </w:r>
      <w:r>
        <w:t xml:space="preserve">Each region is assigned to the compartment with the closest nominal direction (spaced by 60°, counted anticlockwise from compartment 1); empty compartments are skipped.</w:t>
      </w:r>
    </w:p>
    <w:p>
      <w:pPr>
        <w:pStyle w:val="BodyText"/>
      </w:pPr>
      <w:r>
        <w:t xml:space="preserve">The bounding boxes of the individual fish in the scan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9809"/>
            <wp:effectExtent b="0" l="0" r="0" t="0"/>
            <wp:docPr descr="Figure 4: Automatically detected regions based on maximum intensity projection along the rotation axis of the tomographic scan. The left panel shows the highlighted compartment labels as they have been 3D printed. The right panel shows the regions as detected by skimage; they are numbered consecutively from top left to bottom right. These region numbers are assigned to the compartments based on their angle around the rotation axis (see text) and subsequently mapped to the fish ID."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9809"/>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compartment labels as they have been 3D printed.</w:t>
      </w:r>
      <w:r>
        <w:t xml:space="preserve"> </w:t>
      </w:r>
      <w:r>
        <w:t xml:space="preserve">The right panel shows the regions as detected by</w:t>
      </w:r>
      <w:r>
        <w:t xml:space="preserve"> </w:t>
      </w:r>
      <w:r>
        <w:rPr>
          <w:rStyle w:val="VerbatimChar"/>
        </w:rPr>
        <w:t xml:space="preserve">skimage</w:t>
      </w:r>
      <w:r>
        <w:t xml:space="preserve">; they are numbered consecutively from top left to bottom right.</w:t>
      </w:r>
      <w:r>
        <w:t xml:space="preserve"> </w:t>
      </w:r>
      <w:r>
        <w:t xml:space="preserve">These region numbers are assigned to the compartments based on their angle around the rotation axis (see text) and subsequently mapped to the fish ID.</w:t>
      </w:r>
    </w:p>
    <w:bookmarkEnd w:id="0"/>
    <w:p>
      <w:pPr>
        <w:pStyle w:val="BodyText"/>
      </w:pPr>
      <w:r>
        <w:t xml:space="preserve">We then mapped the compartment numbers to the ID numbers of the scanned fish, as noted in the lab book during sample mounting, and presented these images together with photos of the lab book and sample tubes for visual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1982"/>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1982"/>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4166074"/>
            <wp:effectExtent b="0" l="0" r="0" t="0"/>
            <wp:docPr descr="Figure 6: Double-checking crop extent and fish ID. The top row shows the extracted regions from the previously calculated MIP of the multi-specimen scan. The bottom row shows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4166074"/>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shows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2956335"/>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2956335"/>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A subset of 51 specimens was chosen to create an initial training dataset.</w:t>
      </w:r>
      <w:r>
        <w:t xml:space="preserve"> </w:t>
      </w:r>
      <w:r>
        <w:t xml:space="preserve">For each of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as distinct labels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4078"/>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4078"/>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 labels corresponding to each set of bones were exported as a colored labelmap along with the</w:t>
      </w:r>
      <w:r>
        <w:t xml:space="preserve"> </w:t>
      </w:r>
      <w:r>
        <w:rPr>
          <w:rStyle w:val="VerbatimChar"/>
        </w:rPr>
        <w:t xml:space="preserve">nrrd</w:t>
      </w:r>
      <w:r>
        <w:t xml:space="preserve"> </w:t>
      </w:r>
      <w:r>
        <w:t xml:space="preserve">file from which they were segmented to pass to Biomedisa.</w:t>
      </w:r>
    </w:p>
    <w:bookmarkEnd w:id="130"/>
    <w:bookmarkStart w:id="131" w:name="machine-learning-and-model-training"/>
    <w:p>
      <w:pPr>
        <w:pStyle w:val="Heading4"/>
      </w:pPr>
      <w:r>
        <w:t xml:space="preserve">Machine Learning and Model Training</w:t>
      </w:r>
    </w:p>
    <w:p>
      <w:pPr>
        <w:pStyle w:val="FirstParagraph"/>
      </w:pPr>
      <w:r>
        <w:t xml:space="preserve">The hand-labeled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resulting in segmentation labels for all structures in the branchial apparatus.</w:t>
      </w:r>
    </w:p>
    <w:p>
      <w:pPr>
        <w:pStyle w:val="BodyText"/>
      </w:pPr>
      <w:r>
        <w:t xml:space="preserve">As a test and for subsequent analysis, only the first and second right ceratobranchials were chosen for comparison between all samples.</w:t>
      </w:r>
      <w:r>
        <w:t xml:space="preserve"> </w:t>
      </w:r>
      <w:r>
        <w:t xml:space="preserve">The segmentation labels corresponding to these bones were imported together for landmarking using Stratovan Checkpoint</w:t>
      </w:r>
      <w:r>
        <w:t xml:space="preserve"> </w:t>
      </w:r>
      <w:r>
        <w:t xml:space="preserve">(</w:t>
      </w:r>
      <w:hyperlink w:anchor="ref-1EuiurioH">
        <w:r>
          <w:rPr>
            <w:rStyle w:val="Hyperlink"/>
          </w:rPr>
          <w:t xml:space="preserve">Stratovan Corporation, n.d.</w:t>
        </w:r>
      </w:hyperlink>
      <w:r>
        <w:t xml:space="preserve">)</w:t>
      </w:r>
      <w:r>
        <w:t xml:space="preserve"> </w:t>
      </w:r>
      <w:r>
        <w:t xml:space="preserve">and 3D Slicer</w:t>
      </w:r>
      <w:r>
        <w:t xml:space="preserve"> </w:t>
      </w:r>
      <w:r>
        <w:t xml:space="preserve">(</w:t>
      </w:r>
      <w:hyperlink w:anchor="ref-EsDua5wx">
        <w:r>
          <w:rPr>
            <w:rStyle w:val="Hyperlink"/>
          </w:rPr>
          <w:t xml:space="preserve">Kikinis et al., 2013</w:t>
        </w:r>
      </w:hyperlink>
      <w:r>
        <w:t xml:space="preserve">)</w:t>
      </w:r>
      <w:r>
        <w:t xml:space="preserve">.</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p>
    <w:p>
      <w:pPr>
        <w:pStyle w:val="BodyText"/>
      </w:pP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Fixed landmarks were transferred using the</w:t>
      </w:r>
      <w:r>
        <w:t xml:space="preserve"> </w:t>
      </w:r>
      <w:r>
        <w:t xml:space="preserve">“</w:t>
      </w:r>
      <w:r>
        <w:t xml:space="preserve">Import/Apply Template</w:t>
      </w:r>
      <w:r>
        <w:t xml:space="preserve">”</w:t>
      </w:r>
      <w:r>
        <w:t xml:space="preserve"> </w:t>
      </w:r>
      <w:r>
        <w:t xml:space="preserve">function in Stratovan Checkpoint, and manually inspected and adjusted prior to export.</w:t>
      </w:r>
      <w:r>
        <w:t xml:space="preserve"> </w:t>
      </w:r>
      <w:r>
        <w:t xml:space="preserve">Once curves and fixed points were established, equal distances of semi-landmark curves were ensured using the</w:t>
      </w:r>
      <w:r>
        <w:t xml:space="preserve"> </w:t>
      </w:r>
      <w:r>
        <w:rPr>
          <w:rStyle w:val="VerbatimChar"/>
        </w:rPr>
        <w:t xml:space="preserve">resample_curves</w:t>
      </w:r>
      <w:r>
        <w:t xml:space="preserve"> </w:t>
      </w:r>
      <w:r>
        <w:t xml:space="preserve">function in 3D Slicer.</w:t>
      </w:r>
      <w:r>
        <w:t xml:space="preserve"> </w:t>
      </w:r>
      <w:r>
        <w:t xml:space="preserve">While this particular workflow was chosen for time-efficiency, accuracy, and user familiarity, any preferred 3D landmarking program should be able to replicate these results.</w:t>
      </w:r>
    </w:p>
    <w:bookmarkStart w:id="0" w:name="fig:landmarks"/>
    <w:p>
      <w:pPr>
        <w:pStyle w:val="CaptionedFigure"/>
      </w:pPr>
      <w:bookmarkStart w:id="135" w:name="fig:landmarks"/>
      <w:r>
        <w:drawing>
          <wp:inline>
            <wp:extent cx="5943600" cy="4397123"/>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943600" cy="4397123"/>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6"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 (spread over 209 calendar days).</w:t>
      </w:r>
      <w:r>
        <w:t xml:space="preserve"> </w:t>
      </w:r>
      <w:r>
        <w:t xml:space="preserve">We acquired 403312 projections, reconstructed into a total of 154645 slices,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7"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deterministic and reproducible.</w:t>
      </w:r>
      <w:r>
        <w:t xml:space="preserve"> </w:t>
      </w:r>
      <w:r>
        <w:t xml:space="preserve">The assignment of detected regions to compartments is computed from their position around the rotation axis, and the only manual input is the mapping of compartment number to fish ID from the lab book.</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The reconstructions of one exemplary dataset (</w:t>
      </w:r>
      <w:r>
        <w:rPr>
          <w:rStyle w:val="VerbatimChar"/>
        </w:rPr>
        <w:t xml:space="preserve">Sticklebucket_H</w:t>
      </w:r>
      <w:r>
        <w:t xml:space="preserve">) are stored as losslessly compressed 8-bit PNG files and take up 8.5 GB on disk, but require 42.8 GB of memory when fully loaded in Fiji</w:t>
      </w:r>
      <w:r>
        <w:t xml:space="preserve"> </w:t>
      </w:r>
      <w:r>
        <w:t xml:space="preserve">(</w:t>
      </w:r>
      <w:hyperlink w:anchor="ref-Fkmz2cmo">
        <w:r>
          <w:rPr>
            <w:rStyle w:val="Hyperlink"/>
          </w:rPr>
          <w:t xml:space="preserve">Schindelin et al., 2012</w:t>
        </w:r>
      </w:hyperlink>
      <w:r>
        <w:t xml:space="preserve">)</w:t>
      </w:r>
      <w:r>
        <w:t xml:space="preserve"> </w:t>
      </w:r>
      <w:r>
        <w:t xml:space="preserve">(3064 × 3064 pixels × 4891 slices).</w:t>
      </w:r>
      <w:r>
        <w:t xml:space="preserve"> </w:t>
      </w:r>
      <w:r>
        <w:t xml:space="preserve">Large stacks can be loaded as</w:t>
      </w:r>
      <w:r>
        <w:t xml:space="preserve"> </w:t>
      </w:r>
      <w:hyperlink r:id="rId144">
        <w:r>
          <w:rPr>
            <w:rStyle w:val="Hyperlink"/>
          </w:rPr>
          <w:t xml:space="preserve">virtual stacks</w:t>
        </w:r>
      </w:hyperlink>
      <w:r>
        <w:t xml:space="preserve"> </w:t>
      </w:r>
      <w:r>
        <w:t xml:space="preserve">and cropped in XY with low memory requirements, either manually or with a macro implementing steps similar to our pipeline.</w:t>
      </w:r>
      <w:r>
        <w:t xml:space="preserve"> </w:t>
      </w:r>
      <w:r>
        <w:t xml:space="preserve">Done manually, this would need to be repeated six times per scan, followed by assigning each cropped stack to its fish ID in an error-prone manual way.</w:t>
      </w:r>
    </w:p>
    <w:p>
      <w:pPr>
        <w:pStyle w:val="BodyText"/>
      </w:pP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5" w:name="tbl:timing"/>
    <w:p>
      <w:pPr>
        <w:pStyle w:val="TableCaption"/>
      </w:pPr>
      <w:r>
        <w:t xml:space="preserve">Table 1: Comparison of time estimates between manual and pipeline runs.</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about 5.5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On average, we scanned 5.66 fish per scan for a total scan time of 15 days, 23 hours, 50 minutes, and 24 seconds. The manual scan time per single fish is thus calculated to be about 5.5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5"/>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13">
        <w:r>
          <w:rPr>
            <w:rStyle w:val="Hyperlink"/>
          </w:rPr>
          <w:t xml:space="preserve">direct link for one such log file</w:t>
        </w:r>
      </w:hyperlink>
      <w:r>
        <w:t xml:space="preserve"> </w:t>
      </w:r>
      <w:r>
        <w:t xml:space="preserve">and</w:t>
      </w:r>
      <w:r>
        <w:t xml:space="preserve"> </w:t>
      </w:r>
      <w:hyperlink r:id="rId146">
        <w:r>
          <w:rPr>
            <w:rStyle w:val="Hyperlink"/>
          </w:rPr>
          <w:t xml:space="preserve">one such image</w:t>
        </w:r>
      </w:hyperlink>
      <w:r>
        <w:t xml:space="preserve">).</w:t>
      </w:r>
    </w:p>
    <w:p>
      <w:pPr>
        <w:pStyle w:val="BodyText"/>
      </w:pPr>
      <w:r>
        <w:t xml:space="preserve">The automated extraction produced 215</w:t>
      </w:r>
      <w:r>
        <w:t xml:space="preserve"> </w:t>
      </w:r>
      <w:r>
        <w:rPr>
          <w:rStyle w:val="VerbatimChar"/>
        </w:rPr>
        <w:t xml:space="preserve">nrrd</w:t>
      </w:r>
      <w:r>
        <w:t xml:space="preserve"> </w:t>
      </w:r>
      <w:r>
        <w:t xml:space="preserve">files with a total size of 385 GB (median 1.65 GB).</w:t>
      </w:r>
      <w:r>
        <w:t xml:space="preserve"> </w:t>
      </w:r>
      <w:r>
        <w:t xml:space="preserve">The exported regions varied in physical size, resulting in datasets with a median anteroposterior length of 4250 px and median x- and y-dimensions of 650 px (due to the rotation of the fish, the x- and y-dimensions do not map to anatomical directions).</w:t>
      </w:r>
      <w:r>
        <w:t xml:space="preserve"> </w:t>
      </w:r>
      <w:r>
        <w:t xml:space="preserve">These cropped regions include the region of the originally acquired data where the 3D-printed label is visible, aiding in end-to-end reproducibility of the extraction process.</w:t>
      </w:r>
    </w:p>
    <w:p>
      <w:pPr>
        <w:pStyle w:val="BodyText"/>
      </w:pPr>
      <w:r>
        <w:t xml:space="preserve">We have uploaded further cropped datasets of each analyzed fish to MorphoSource (see</w:t>
      </w:r>
      <w:r>
        <w:t xml:space="preserve"> </w:t>
      </w:r>
      <w:hyperlink w:anchor="supplementary-materials">
        <w:r>
          <w:rPr>
            <w:rStyle w:val="Hyperlink"/>
          </w:rPr>
          <w:t xml:space="preserve">Supplementary Materials</w:t>
        </w:r>
      </w:hyperlink>
      <w:r>
        <w:t xml:space="preserve">).</w:t>
      </w:r>
      <w:r>
        <w:t xml:space="preserve"> </w:t>
      </w:r>
      <w:r>
        <w:t xml:space="preserve">These further cropped datasets include only the region of the fish in anteroposterior direction, drop the 3D-printed label region and have a median length of approximately 3000 pixels; the x- and y-directions are the same as for the previously mentioned datasets.</w:t>
      </w:r>
    </w:p>
    <w:bookmarkEnd w:id="147"/>
    <w:bookmarkStart w:id="148"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8"/>
    <w:bookmarkStart w:id="165"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2" w:name="fig:pca_cb1"/>
      <w:r>
        <w:drawing>
          <wp:inline>
            <wp:extent cx="5943600" cy="4143835"/>
            <wp:effectExtent b="0" l="0" r="0" t="0"/>
            <wp:docPr descr="Figure 10: PCA of CB1 colored by lake ecotype. Warps are indicated at the extremes of each axis by vectors drawn from a mean shape (red)." title="" id="150" name="Picture"/>
            <a:graphic>
              <a:graphicData uri="http://schemas.openxmlformats.org/drawingml/2006/picture">
                <pic:pic>
                  <pic:nvPicPr>
                    <pic:cNvPr descr="images/PCA_CB1_Plot.png" id="151" name="Picture"/>
                    <pic:cNvPicPr>
                      <a:picLocks noChangeArrowheads="1" noChangeAspect="1"/>
                    </pic:cNvPicPr>
                  </pic:nvPicPr>
                  <pic:blipFill>
                    <a:blip r:embed="rId149"/>
                    <a:stretch>
                      <a:fillRect/>
                    </a:stretch>
                  </pic:blipFill>
                  <pic:spPr bwMode="auto">
                    <a:xfrm>
                      <a:off x="0" y="0"/>
                      <a:ext cx="5943600" cy="4143835"/>
                    </a:xfrm>
                    <a:prstGeom prst="rect">
                      <a:avLst/>
                    </a:prstGeom>
                    <a:noFill/>
                    <a:ln w="9525">
                      <a:noFill/>
                      <a:headEnd/>
                      <a:tailEnd/>
                    </a:ln>
                  </pic:spPr>
                </pic:pic>
              </a:graphicData>
            </a:graphic>
          </wp:inline>
        </w:drawing>
      </w:r>
      <w:bookmarkEnd w:id="152"/>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6" w:name="fig:pca_cb2"/>
      <w:r>
        <w:drawing>
          <wp:inline>
            <wp:extent cx="5943600" cy="4139930"/>
            <wp:effectExtent b="0" l="0" r="0" t="0"/>
            <wp:docPr descr="Figure 11: PCA of CB2 colored by lake ecotype. Warps are indicated at the extremes of each axis by vectors drawn from a mean shape (red)." title="" id="154" name="Picture"/>
            <a:graphic>
              <a:graphicData uri="http://schemas.openxmlformats.org/drawingml/2006/picture">
                <pic:pic>
                  <pic:nvPicPr>
                    <pic:cNvPr descr="images/PCA_CB2_Plot.png" id="155" name="Picture"/>
                    <pic:cNvPicPr>
                      <a:picLocks noChangeArrowheads="1" noChangeAspect="1"/>
                    </pic:cNvPicPr>
                  </pic:nvPicPr>
                  <pic:blipFill>
                    <a:blip r:embed="rId153"/>
                    <a:stretch>
                      <a:fillRect/>
                    </a:stretch>
                  </pic:blipFill>
                  <pic:spPr bwMode="auto">
                    <a:xfrm>
                      <a:off x="0" y="0"/>
                      <a:ext cx="5943600" cy="4139930"/>
                    </a:xfrm>
                    <a:prstGeom prst="rect">
                      <a:avLst/>
                    </a:prstGeom>
                    <a:noFill/>
                    <a:ln w="9525">
                      <a:noFill/>
                      <a:headEnd/>
                      <a:tailEnd/>
                    </a:ln>
                  </pic:spPr>
                </pic:pic>
              </a:graphicData>
            </a:graphic>
          </wp:inline>
        </w:drawing>
      </w:r>
      <w:bookmarkEnd w:id="156"/>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0" w:name="fig:pca_cb1_lake"/>
      <w:r>
        <w:drawing>
          <wp:inline>
            <wp:extent cx="5943600" cy="4081846"/>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58" name="Picture"/>
            <a:graphic>
              <a:graphicData uri="http://schemas.openxmlformats.org/drawingml/2006/picture">
                <pic:pic>
                  <pic:nvPicPr>
                    <pic:cNvPr descr="images/PCA_CB1_Plot_Lake.png" id="159" name="Picture"/>
                    <pic:cNvPicPr>
                      <a:picLocks noChangeArrowheads="1" noChangeAspect="1"/>
                    </pic:cNvPicPr>
                  </pic:nvPicPr>
                  <pic:blipFill>
                    <a:blip r:embed="rId157"/>
                    <a:stretch>
                      <a:fillRect/>
                    </a:stretch>
                  </pic:blipFill>
                  <pic:spPr bwMode="auto">
                    <a:xfrm>
                      <a:off x="0" y="0"/>
                      <a:ext cx="5943600" cy="4081846"/>
                    </a:xfrm>
                    <a:prstGeom prst="rect">
                      <a:avLst/>
                    </a:prstGeom>
                    <a:noFill/>
                    <a:ln w="9525">
                      <a:noFill/>
                      <a:headEnd/>
                      <a:tailEnd/>
                    </a:ln>
                  </pic:spPr>
                </pic:pic>
              </a:graphicData>
            </a:graphic>
          </wp:inline>
        </w:drawing>
      </w:r>
      <w:bookmarkEnd w:id="160"/>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4" w:name="fig:pca_cb2_lake"/>
      <w:r>
        <w:drawing>
          <wp:inline>
            <wp:extent cx="5943600" cy="4126587"/>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2" name="Picture"/>
            <a:graphic>
              <a:graphicData uri="http://schemas.openxmlformats.org/drawingml/2006/picture">
                <pic:pic>
                  <pic:nvPicPr>
                    <pic:cNvPr descr="images/PCA_CB2_Plot_Lake.png" id="163" name="Picture"/>
                    <pic:cNvPicPr>
                      <a:picLocks noChangeArrowheads="1" noChangeAspect="1"/>
                    </pic:cNvPicPr>
                  </pic:nvPicPr>
                  <pic:blipFill>
                    <a:blip r:embed="rId161"/>
                    <a:stretch>
                      <a:fillRect/>
                    </a:stretch>
                  </pic:blipFill>
                  <pic:spPr bwMode="auto">
                    <a:xfrm>
                      <a:off x="0" y="0"/>
                      <a:ext cx="5943600" cy="4126587"/>
                    </a:xfrm>
                    <a:prstGeom prst="rect">
                      <a:avLst/>
                    </a:prstGeom>
                    <a:noFill/>
                    <a:ln w="9525">
                      <a:noFill/>
                      <a:headEnd/>
                      <a:tailEnd/>
                    </a:ln>
                  </pic:spPr>
                </pic:pic>
              </a:graphicData>
            </a:graphic>
          </wp:inline>
        </w:drawing>
      </w:r>
      <w:bookmarkEnd w:id="164"/>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5"/>
    <w:bookmarkEnd w:id="166"/>
    <w:bookmarkStart w:id="171" w:name="discussion"/>
    <w:p>
      <w:pPr>
        <w:pStyle w:val="Heading2"/>
      </w:pPr>
      <w:r>
        <w:t xml:space="preserve">Discussion</w:t>
      </w:r>
    </w:p>
    <w:bookmarkStart w:id="167" w:name="data-acquisition"/>
    <w:p>
      <w:pPr>
        <w:pStyle w:val="Heading3"/>
      </w:pPr>
      <w:r>
        <w:t xml:space="preserve">Data Acquisition</w:t>
      </w:r>
    </w:p>
    <w:p>
      <w:pPr>
        <w:pStyle w:val="FirstParagraph"/>
      </w:pPr>
      <w:r>
        <w:t xml:space="preserve">The main driver for developing our pipeline was efficient use of both machine time and human time in this project.</w:t>
      </w:r>
    </w:p>
    <w:p>
      <w:pPr>
        <w:pStyle w:val="BodyText"/>
      </w:pPr>
      <w:r>
        <w:t xml:space="preserve">At the voxel size needed to unambiguously resolve the branchial skeleton (less than 20 µm, as determined in pilot experiments), the time needed for acquisition of a tomographic scan is determined by the number of projections and exposure time, not by the number of fish in the field of view.</w:t>
      </w:r>
      <w:r>
        <w:t xml:space="preserve"> </w:t>
      </w:r>
      <w:r>
        <w:t xml:space="preserve">Efficiently</w:t>
      </w:r>
      <w:r>
        <w:t xml:space="preserve"> </w:t>
      </w:r>
      <w:r>
        <w:t xml:space="preserve">“</w:t>
      </w:r>
      <w:r>
        <w:t xml:space="preserve">filling</w:t>
      </w:r>
      <w:r>
        <w:t xml:space="preserve">”</w:t>
      </w:r>
      <w:r>
        <w:t xml:space="preserve"> </w:t>
      </w:r>
      <w:r>
        <w:t xml:space="preserve">the field of view of the scanner with as many fish as possible in one scan enabled us to scan a total of 215 unique specimens in 38 different scans with a total scan duration of 16 days.</w:t>
      </w:r>
      <w:r>
        <w:t xml:space="preserve"> </w:t>
      </w:r>
      <w:r>
        <w:t xml:space="preserve">If we would have scanned each specimen individually, we would have required about 90 days of scan time; while not impossible, this would have increased the instrument time and its costs severalfold.</w:t>
      </w:r>
    </w:p>
    <w:p>
      <w:pPr>
        <w:pStyle w:val="BodyText"/>
      </w:pPr>
      <w:r>
        <w:t xml:space="preserve">Scanning up to six fish at once makes efficient use of the scanner, but does shift the effort to the processing of the data, since each scan has to be separated into single-fish datasets.</w:t>
      </w:r>
      <w:r>
        <w:t xml:space="preserve"> </w:t>
      </w:r>
      <w:r>
        <w:t xml:space="preserve">Since our pipeline automates the separation (see</w:t>
      </w:r>
      <w:r>
        <w:t xml:space="preserve"> </w:t>
      </w:r>
      <w:hyperlink w:anchor="fish-separation">
        <w:r>
          <w:rPr>
            <w:rStyle w:val="Hyperlink"/>
          </w:rPr>
          <w:t xml:space="preserve">Fish Separation</w:t>
        </w:r>
      </w:hyperlink>
      <w:r>
        <w:t xml:space="preserve">) reproducibly, this shift of effort is cost-effective.</w:t>
      </w:r>
    </w:p>
    <w:bookmarkEnd w:id="167"/>
    <w:bookmarkStart w:id="168" w:name="pipeline-and-efficiency"/>
    <w:p>
      <w:pPr>
        <w:pStyle w:val="Heading3"/>
      </w:pPr>
      <w:r>
        <w:t xml:space="preserve">Pipeline and Efficiency</w:t>
      </w:r>
    </w:p>
    <w:p>
      <w:pPr>
        <w:pStyle w:val="FirstParagraph"/>
      </w:pPr>
      <w:r>
        <w:t xml:space="preserve">Once all components of the pipeline are combined, running a simple script enables automatic separation,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r>
        <w:t xml:space="preserve"> </w:t>
      </w:r>
      <w:r>
        <w:t xml:space="preserve">Adding more (multi-specimen) scans to the pipeline does</w:t>
      </w:r>
      <w:r>
        <w:t xml:space="preserve"> </w:t>
      </w:r>
      <w:r>
        <w:rPr>
          <w:iCs/>
          <w:i/>
        </w:rPr>
        <w:t xml:space="preserve">not</w:t>
      </w:r>
      <w:r>
        <w:t xml:space="preserve"> </w:t>
      </w:r>
      <w:r>
        <w:t xml:space="preserve">increase the time users have to spend on manually separating these scans into single fish regions.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r>
        <w:t xml:space="preserve"> </w:t>
      </w:r>
      <w:r>
        <w:t xml:space="preserve">We have already applied the same pipeline to multi-specimen scans of other fish species, namely</w:t>
      </w:r>
      <w:r>
        <w:t xml:space="preserve"> </w:t>
      </w:r>
      <w:r>
        <w:rPr>
          <w:iCs/>
          <w:i/>
        </w:rPr>
        <w:t xml:space="preserve">Spinachia spinachia</w:t>
      </w:r>
      <w:r>
        <w:t xml:space="preserve"> </w:t>
      </w:r>
      <w:r>
        <w:t xml:space="preserve">and several Lake Victoria and Neotropical cichlid species (manuscripts in preparation).</w:t>
      </w:r>
    </w:p>
    <w:bookmarkEnd w:id="168"/>
    <w:bookmarkStart w:id="169"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albeit small, differences between benthic and limnetic ecotypes based on linear and pairwise analyses (PC4, accounting for 4.33% of the variation, appears to capture these differences; see supplementary figure</w:t>
      </w:r>
      <w:r>
        <w:t xml:space="preserve"> </w:t>
      </w:r>
      <w:hyperlink w:anchor="fig:pc4">
        <w:r>
          <w:rPr>
            <w:rStyle w:val="Hyperlink"/>
          </w:rPr>
          <w:t xml:space="preserve">14</w:t>
        </w:r>
      </w:hyperlink>
      <w:r>
        <w:t xml:space="preserve">).</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69"/>
    <w:bookmarkStart w:id="170"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r>
        <w:t xml:space="preserve"> </w:t>
      </w:r>
      <w:r>
        <w:t xml:space="preserve">And while the separation step outlined in this manuscript is independent of the scanned specimens, the segmentation model has to be retrained for other species or anatomical structures.</w:t>
      </w:r>
    </w:p>
    <w:bookmarkEnd w:id="170"/>
    <w:bookmarkEnd w:id="171"/>
    <w:bookmarkStart w:id="172"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60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2"/>
    <w:bookmarkStart w:id="188" w:name="authors-contributions"/>
    <w:p>
      <w:pPr>
        <w:pStyle w:val="Heading2"/>
      </w:pPr>
      <w:r>
        <w:t xml:space="preserve">Authors’ Contributions</w:t>
      </w:r>
    </w:p>
    <w:p>
      <w:pPr>
        <w:pStyle w:val="FirstParagraph"/>
      </w:pPr>
      <w:hyperlink r:id="rId173">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4">
        <w:r>
          <w:rPr>
            <w:rStyle w:val="Hyperlink"/>
          </w:rPr>
          <w:t xml:space="preserve">Conceptualization</w:t>
        </w:r>
      </w:hyperlink>
      <w:r>
        <w:t xml:space="preserve">: R. Benjamin Sulser, Sheila Christen, Ruslan Hlushchuk</w:t>
      </w:r>
    </w:p>
    <w:p>
      <w:pPr>
        <w:numPr>
          <w:ilvl w:val="0"/>
          <w:numId w:val="1002"/>
        </w:numPr>
        <w:pStyle w:val="Compact"/>
      </w:pPr>
      <w:hyperlink r:id="rId175">
        <w:r>
          <w:rPr>
            <w:rStyle w:val="Hyperlink"/>
          </w:rPr>
          <w:t xml:space="preserve">Data curation</w:t>
        </w:r>
      </w:hyperlink>
      <w:r>
        <w:t xml:space="preserve">: David Haberthür, R. Benjamin Sulser, Sheila Christen</w:t>
      </w:r>
    </w:p>
    <w:p>
      <w:pPr>
        <w:numPr>
          <w:ilvl w:val="0"/>
          <w:numId w:val="1002"/>
        </w:numPr>
        <w:pStyle w:val="Compact"/>
      </w:pPr>
      <w:hyperlink r:id="rId176">
        <w:r>
          <w:rPr>
            <w:rStyle w:val="Hyperlink"/>
          </w:rPr>
          <w:t xml:space="preserve">Formal analysis</w:t>
        </w:r>
      </w:hyperlink>
      <w:r>
        <w:t xml:space="preserve">: David Haberthür, R. Benjamin Sulser, Sheila Christen</w:t>
      </w:r>
    </w:p>
    <w:p>
      <w:pPr>
        <w:numPr>
          <w:ilvl w:val="0"/>
          <w:numId w:val="1002"/>
        </w:numPr>
        <w:pStyle w:val="Compact"/>
      </w:pPr>
      <w:hyperlink r:id="rId177">
        <w:r>
          <w:rPr>
            <w:rStyle w:val="Hyperlink"/>
          </w:rPr>
          <w:t xml:space="preserve">Funding acquisition</w:t>
        </w:r>
      </w:hyperlink>
      <w:r>
        <w:t xml:space="preserve">: R. Benjamin Sulser, Catherine L. Peichel, Ruslan Hlushchuk</w:t>
      </w:r>
    </w:p>
    <w:p>
      <w:pPr>
        <w:numPr>
          <w:ilvl w:val="0"/>
          <w:numId w:val="1002"/>
        </w:numPr>
        <w:pStyle w:val="Compact"/>
      </w:pPr>
      <w:hyperlink r:id="rId178">
        <w:r>
          <w:rPr>
            <w:rStyle w:val="Hyperlink"/>
          </w:rPr>
          <w:t xml:space="preserve">Investigation</w:t>
        </w:r>
      </w:hyperlink>
      <w:r>
        <w:t xml:space="preserve">: David Haberthür, R. Benjamin Sulser, Sheila Christen</w:t>
      </w:r>
    </w:p>
    <w:p>
      <w:pPr>
        <w:numPr>
          <w:ilvl w:val="0"/>
          <w:numId w:val="1002"/>
        </w:numPr>
        <w:pStyle w:val="Compact"/>
      </w:pPr>
      <w:hyperlink r:id="rId179">
        <w:r>
          <w:rPr>
            <w:rStyle w:val="Hyperlink"/>
          </w:rPr>
          <w:t xml:space="preserve">Methodology</w:t>
        </w:r>
      </w:hyperlink>
      <w:r>
        <w:t xml:space="preserve">: David Haberthür, R. Benjamin Sulser, Sheila Christen, Ruslan Hlushchuk</w:t>
      </w:r>
    </w:p>
    <w:p>
      <w:pPr>
        <w:numPr>
          <w:ilvl w:val="0"/>
          <w:numId w:val="1002"/>
        </w:numPr>
        <w:pStyle w:val="Compact"/>
      </w:pPr>
      <w:hyperlink r:id="rId180">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1">
        <w:r>
          <w:rPr>
            <w:rStyle w:val="Hyperlink"/>
          </w:rPr>
          <w:t xml:space="preserve">Resources</w:t>
        </w:r>
      </w:hyperlink>
      <w:r>
        <w:t xml:space="preserve">: R. Benjamin Sulser, Ruslan Hlushchuk</w:t>
      </w:r>
    </w:p>
    <w:p>
      <w:pPr>
        <w:numPr>
          <w:ilvl w:val="0"/>
          <w:numId w:val="1002"/>
        </w:numPr>
        <w:pStyle w:val="Compact"/>
      </w:pPr>
      <w:hyperlink r:id="rId182">
        <w:r>
          <w:rPr>
            <w:rStyle w:val="Hyperlink"/>
          </w:rPr>
          <w:t xml:space="preserve">Software</w:t>
        </w:r>
      </w:hyperlink>
      <w:r>
        <w:t xml:space="preserve">: David Haberthür, R. Benjamin Sulser</w:t>
      </w:r>
    </w:p>
    <w:p>
      <w:pPr>
        <w:numPr>
          <w:ilvl w:val="0"/>
          <w:numId w:val="1002"/>
        </w:numPr>
        <w:pStyle w:val="Compact"/>
      </w:pPr>
      <w:hyperlink r:id="rId183">
        <w:r>
          <w:rPr>
            <w:rStyle w:val="Hyperlink"/>
          </w:rPr>
          <w:t xml:space="preserve">Supervision</w:t>
        </w:r>
      </w:hyperlink>
      <w:r>
        <w:t xml:space="preserve">: R. Benjamin Sulser, Catherine L. Peichel, Ruslan Hlushchuk</w:t>
      </w:r>
    </w:p>
    <w:p>
      <w:pPr>
        <w:numPr>
          <w:ilvl w:val="0"/>
          <w:numId w:val="1002"/>
        </w:numPr>
        <w:pStyle w:val="Compact"/>
      </w:pPr>
      <w:hyperlink r:id="rId184">
        <w:r>
          <w:rPr>
            <w:rStyle w:val="Hyperlink"/>
          </w:rPr>
          <w:t xml:space="preserve">Validation</w:t>
        </w:r>
      </w:hyperlink>
      <w:r>
        <w:t xml:space="preserve">: David Haberthür, R. Benjamin Sulser, Sheila Christen</w:t>
      </w:r>
    </w:p>
    <w:p>
      <w:pPr>
        <w:numPr>
          <w:ilvl w:val="0"/>
          <w:numId w:val="1002"/>
        </w:numPr>
        <w:pStyle w:val="Compact"/>
      </w:pPr>
      <w:hyperlink r:id="rId185">
        <w:r>
          <w:rPr>
            <w:rStyle w:val="Hyperlink"/>
          </w:rPr>
          <w:t xml:space="preserve">Visualization</w:t>
        </w:r>
      </w:hyperlink>
      <w:r>
        <w:t xml:space="preserve">: David Haberthür, R. Benjamin Sulser, Sheila Christen</w:t>
      </w:r>
    </w:p>
    <w:p>
      <w:pPr>
        <w:numPr>
          <w:ilvl w:val="0"/>
          <w:numId w:val="1002"/>
        </w:numPr>
        <w:pStyle w:val="Compact"/>
      </w:pPr>
      <w:hyperlink r:id="rId186">
        <w:r>
          <w:rPr>
            <w:rStyle w:val="Hyperlink"/>
          </w:rPr>
          <w:t xml:space="preserve">Writing – original draft</w:t>
        </w:r>
      </w:hyperlink>
      <w:r>
        <w:t xml:space="preserve">: David Haberthür, R. Benjamin Sulser</w:t>
      </w:r>
    </w:p>
    <w:p>
      <w:pPr>
        <w:numPr>
          <w:ilvl w:val="0"/>
          <w:numId w:val="1002"/>
        </w:numPr>
        <w:pStyle w:val="Compact"/>
      </w:pPr>
      <w:hyperlink r:id="rId187">
        <w:r>
          <w:rPr>
            <w:rStyle w:val="Hyperlink"/>
          </w:rPr>
          <w:t xml:space="preserve">Writing – review &amp; editing</w:t>
        </w:r>
      </w:hyperlink>
      <w:r>
        <w:t xml:space="preserve">: David Haberthür, R. Benjamin Sulser, Sheila Christen, Catherine L. Peichel, Ruslan Hlushchuk</w:t>
      </w:r>
    </w:p>
    <w:bookmarkEnd w:id="188"/>
    <w:bookmarkStart w:id="190" w:name="use-of-ai-tools"/>
    <w:p>
      <w:pPr>
        <w:pStyle w:val="Heading2"/>
      </w:pPr>
      <w:r>
        <w:t xml:space="preserve">Use of AI tools</w:t>
      </w:r>
    </w:p>
    <w:p>
      <w:pPr>
        <w:pStyle w:val="FirstParagraph"/>
      </w:pPr>
      <w:r>
        <w:t xml:space="preserve">No generative AI was used to generate the scientific content of the manuscript.</w:t>
      </w:r>
    </w:p>
    <w:p>
      <w:pPr>
        <w:pStyle w:val="BodyText"/>
      </w:pPr>
      <w:r>
        <w:t xml:space="preserve">Large language models were used to:</w:t>
      </w:r>
      <w:r>
        <w:t xml:space="preserve"> </w:t>
      </w:r>
      <w:r>
        <w:t xml:space="preserve">- identify spelling and grammatical errors</w:t>
      </w:r>
      <w:r>
        <w:t xml:space="preserve"> </w:t>
      </w:r>
      <w:r>
        <w:t xml:space="preserve">- to suggest wording for individual sentences during the revision</w:t>
      </w:r>
      <w:r>
        <w:t xml:space="preserve"> </w:t>
      </w:r>
      <w:r>
        <w:t xml:space="preserve">- to assist with writing and debugging the analysis code,</w:t>
      </w:r>
      <w:r>
        <w:t xml:space="preserve"> </w:t>
      </w:r>
      <w:r>
        <w:t xml:space="preserve">- and to obtain feedback from</w:t>
      </w:r>
      <w:r>
        <w:t xml:space="preserve"> </w:t>
      </w:r>
      <w:hyperlink r:id="rId189">
        <w:r>
          <w:rPr>
            <w:rStyle w:val="Hyperlink"/>
          </w:rPr>
          <w:t xml:space="preserve">the Stanford Agentic Reviewer</w:t>
        </w:r>
      </w:hyperlink>
      <w:r>
        <w:t xml:space="preserve">.</w:t>
      </w:r>
    </w:p>
    <w:p>
      <w:pPr>
        <w:pStyle w:val="BodyText"/>
      </w:pPr>
      <w:r>
        <w:t xml:space="preserve">The authors reviewed all suggestions, selectively incorporated them, and take full responsibility for the content of the manuscript and the code.</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5" w:name="supplementary-materials"/>
    <w:p>
      <w:pPr>
        <w:pStyle w:val="Heading2"/>
      </w:pPr>
      <w:r>
        <w:t xml:space="preserve">Supplementary Materials</w:t>
      </w:r>
    </w:p>
    <w:bookmarkStart w:id="197"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4">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5">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6">
        <w:r>
          <w:rPr>
            <w:rStyle w:val="Hyperlink"/>
          </w:rPr>
          <w:t xml:space="preserve">folder in the data processing repository</w:t>
        </w:r>
      </w:hyperlink>
      <w:r>
        <w:t xml:space="preserve"> </w:t>
      </w:r>
      <w:r>
        <w:t xml:space="preserve">of this project.</w:t>
      </w:r>
    </w:p>
    <w:bookmarkEnd w:id="197"/>
    <w:bookmarkStart w:id="200" w:name="X6bc734487f7438f1df3020b45c3c4edefa69cb1"/>
    <w:p>
      <w:pPr>
        <w:pStyle w:val="Heading3"/>
      </w:pPr>
      <w:r>
        <w:t xml:space="preserve">Cropped Tomographic Data of Each Extracted Fish</w:t>
      </w:r>
    </w:p>
    <w:p>
      <w:pPr>
        <w:pStyle w:val="FirstParagraph"/>
      </w:pPr>
      <w:r>
        <w:t xml:space="preserve">The cropped datasets for analysis include the region with the 3D-printed label of the multi-specimen holder to keep the process reproducible in an end-to-end fashion.</w:t>
      </w:r>
      <w:r>
        <w:t xml:space="preserve"> </w:t>
      </w:r>
      <w:r>
        <w:t xml:space="preserve">We further cropped the datasets along the anteroposterior axis with a</w:t>
      </w:r>
      <w:r>
        <w:t xml:space="preserve"> </w:t>
      </w:r>
      <w:hyperlink r:id="rId198">
        <w:r>
          <w:rPr>
            <w:rStyle w:val="Hyperlink"/>
          </w:rPr>
          <w:t xml:space="preserve">helper notebook</w:t>
        </w:r>
      </w:hyperlink>
      <w:r>
        <w:t xml:space="preserve">.</w:t>
      </w:r>
      <w:r>
        <w:t xml:space="preserve"> </w:t>
      </w:r>
      <w:r>
        <w:t xml:space="preserve">These datasets do</w:t>
      </w:r>
      <w:r>
        <w:t xml:space="preserve"> </w:t>
      </w:r>
      <w:r>
        <w:rPr>
          <w:iCs/>
          <w:i/>
        </w:rPr>
        <w:t xml:space="preserve">not</w:t>
      </w:r>
      <w:r>
        <w:t xml:space="preserve"> </w:t>
      </w:r>
      <w:r>
        <w:t xml:space="preserve">include the region of the 3D-printed label, but are minimized to only the fish region.</w:t>
      </w:r>
      <w:r>
        <w:t xml:space="preserve"> </w:t>
      </w:r>
      <w:r>
        <w:t xml:space="preserve">A</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such cropped fish region is available in</w:t>
      </w:r>
      <w:r>
        <w:t xml:space="preserve"> </w:t>
      </w:r>
      <w:hyperlink r:id="rId199">
        <w:r>
          <w:rPr>
            <w:rStyle w:val="Hyperlink"/>
          </w:rPr>
          <w:t xml:space="preserve">a collection at MorphoSource</w:t>
        </w:r>
      </w:hyperlink>
      <w:r>
        <w:t xml:space="preserve"> </w:t>
      </w:r>
      <w:r>
        <w:t xml:space="preserve">and can be downloaded on request.</w:t>
      </w:r>
    </w:p>
    <w:bookmarkEnd w:id="200"/>
    <w:bookmarkStart w:id="209" w:name="analysis-scripts"/>
    <w:p>
      <w:pPr>
        <w:pStyle w:val="Heading3"/>
      </w:pPr>
      <w:r>
        <w:t xml:space="preserve">Analysis Scripts</w:t>
      </w:r>
    </w:p>
    <w:bookmarkStart w:id="203"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1">
        <w:r>
          <w:rPr>
            <w:rStyle w:val="Hyperlink"/>
          </w:rPr>
          <w:t xml:space="preserve">on GitHub</w:t>
        </w:r>
      </w:hyperlink>
      <w:r>
        <w:t xml:space="preserve"> </w:t>
      </w:r>
      <w:r>
        <w:t xml:space="preserve">and can be previewed with</w:t>
      </w:r>
      <w:r>
        <w:t xml:space="preserve"> </w:t>
      </w:r>
      <w:hyperlink r:id="rId202">
        <w:r>
          <w:rPr>
            <w:rStyle w:val="Hyperlink"/>
          </w:rPr>
          <w:t xml:space="preserve">nbviewer</w:t>
        </w:r>
      </w:hyperlink>
      <w:r>
        <w:t xml:space="preserve">.</w:t>
      </w:r>
    </w:p>
    <w:bookmarkEnd w:id="203"/>
    <w:bookmarkStart w:id="206" w:name="d-slicer-extraction"/>
    <w:p>
      <w:pPr>
        <w:pStyle w:val="Heading4"/>
      </w:pPr>
      <w:r>
        <w:t xml:space="preserve">3D Slicer; Extraction</w:t>
      </w:r>
    </w:p>
    <w:p>
      <w:pPr>
        <w:pStyle w:val="FirstParagraph"/>
      </w:pPr>
      <w:r>
        <w:t xml:space="preserve">The Python script we used to resample curves is found</w:t>
      </w:r>
      <w:r>
        <w:t xml:space="preserve"> </w:t>
      </w:r>
      <w:hyperlink r:id="rId204">
        <w:r>
          <w:rPr>
            <w:rStyle w:val="Hyperlink"/>
          </w:rPr>
          <w:t xml:space="preserve">online on GitHub</w:t>
        </w:r>
      </w:hyperlink>
      <w:r>
        <w:t xml:space="preserve">.</w:t>
      </w:r>
      <w:r>
        <w:t xml:space="preserve"> </w:t>
      </w:r>
      <w:r>
        <w:t xml:space="preserve">The result of the resampling is also available</w:t>
      </w:r>
      <w:r>
        <w:t xml:space="preserve"> </w:t>
      </w:r>
      <w:hyperlink r:id="rId205">
        <w:r>
          <w:rPr>
            <w:rStyle w:val="Hyperlink"/>
          </w:rPr>
          <w:t xml:space="preserve">online</w:t>
        </w:r>
      </w:hyperlink>
      <w:r>
        <w:t xml:space="preserve">.</w:t>
      </w:r>
    </w:p>
    <w:bookmarkEnd w:id="206"/>
    <w:bookmarkStart w:id="208" w:name="r-morphometrics"/>
    <w:p>
      <w:pPr>
        <w:pStyle w:val="Heading4"/>
      </w:pPr>
      <w:r>
        <w:t xml:space="preserve">R; Morphometrics</w:t>
      </w:r>
    </w:p>
    <w:p>
      <w:pPr>
        <w:pStyle w:val="FirstParagraph"/>
      </w:pPr>
      <w:r>
        <w:t xml:space="preserve">The R script we used to assess the morphometrics is available</w:t>
      </w:r>
      <w:r>
        <w:t xml:space="preserve"> </w:t>
      </w:r>
      <w:hyperlink r:id="rId207">
        <w:r>
          <w:rPr>
            <w:rStyle w:val="Hyperlink"/>
          </w:rPr>
          <w:t xml:space="preserve">online on GitHub</w:t>
        </w:r>
      </w:hyperlink>
      <w:r>
        <w:t xml:space="preserve">.</w:t>
      </w:r>
    </w:p>
    <w:bookmarkEnd w:id="208"/>
    <w:bookmarkEnd w:id="209"/>
    <w:bookmarkStart w:id="214" w:name="supplementary-figure"/>
    <w:p>
      <w:pPr>
        <w:pStyle w:val="Heading3"/>
      </w:pPr>
      <w:r>
        <w:t xml:space="preserve">Supplementary Figure</w:t>
      </w:r>
    </w:p>
    <w:bookmarkStart w:id="0" w:name="fig:pc4"/>
    <w:p>
      <w:pPr>
        <w:pStyle w:val="CaptionedFigure"/>
      </w:pPr>
      <w:bookmarkStart w:id="213" w:name="fig:pc4"/>
      <w:r>
        <w:drawing>
          <wp:inline>
            <wp:extent cx="5943600" cy="4136942"/>
            <wp:effectExtent b="0" l="0" r="0" t="0"/>
            <wp:docPr descr="Figure 14: PCA of first ceratobranchial, colored by lake ecotype, highlighting PC1 and PC4. Warps are indicated at the extremes of each axis by vectors drawn from a mean shape (red). PC4 accounts for 4.33% of the variation." title="" id="211" name="Picture"/>
            <a:graphic>
              <a:graphicData uri="http://schemas.openxmlformats.org/drawingml/2006/picture">
                <pic:pic>
                  <pic:nvPicPr>
                    <pic:cNvPr descr="images/Supplementary_Figure_PC1_vs_PC4.png" id="212" name="Picture"/>
                    <pic:cNvPicPr>
                      <a:picLocks noChangeArrowheads="1" noChangeAspect="1"/>
                    </pic:cNvPicPr>
                  </pic:nvPicPr>
                  <pic:blipFill>
                    <a:blip r:embed="rId210"/>
                    <a:stretch>
                      <a:fillRect/>
                    </a:stretch>
                  </pic:blipFill>
                  <pic:spPr bwMode="auto">
                    <a:xfrm>
                      <a:off x="0" y="0"/>
                      <a:ext cx="5943600" cy="4136942"/>
                    </a:xfrm>
                    <a:prstGeom prst="rect">
                      <a:avLst/>
                    </a:prstGeom>
                    <a:noFill/>
                    <a:ln w="9525">
                      <a:noFill/>
                      <a:headEnd/>
                      <a:tailEnd/>
                    </a:ln>
                  </pic:spPr>
                </pic:pic>
              </a:graphicData>
            </a:graphic>
          </wp:inline>
        </w:drawing>
      </w:r>
      <w:bookmarkEnd w:id="213"/>
    </w:p>
    <w:p>
      <w:pPr>
        <w:pStyle w:val="ImageCaption"/>
      </w:pPr>
      <w:r>
        <w:t xml:space="preserve">Figure 14: PCA of first ceratobranchial, colored by lake ecotype, highlighting PC1 and PC4.</w:t>
      </w:r>
      <w:r>
        <w:t xml:space="preserve"> </w:t>
      </w:r>
      <w:r>
        <w:t xml:space="preserve">Warps are indicated at the extremes of each axis by vectors drawn from a mean shape (red).</w:t>
      </w:r>
      <w:r>
        <w:t xml:space="preserve"> </w:t>
      </w:r>
      <w:r>
        <w:t xml:space="preserve">PC4 accounts for 4.33% of the variation.</w:t>
      </w:r>
    </w:p>
    <w:bookmarkEnd w:id="0"/>
    <w:bookmarkEnd w:id="214"/>
    <w:bookmarkEnd w:id="215"/>
    <w:bookmarkStart w:id="295" w:name="references"/>
    <w:p>
      <w:pPr>
        <w:pStyle w:val="Heading2"/>
      </w:pPr>
      <w:r>
        <w:t xml:space="preserve">References</w:t>
      </w:r>
    </w:p>
    <w:bookmarkStart w:id="294" w:name="refs"/>
    <w:bookmarkStart w:id="21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6">
        <w:r>
          <w:rPr>
            <w:rStyle w:val="Hyperlink"/>
          </w:rPr>
          <w:t xml:space="preserve">https://doi.org/10.3789/ansi.niso.z39.104-2022</w:t>
        </w:r>
      </w:hyperlink>
    </w:p>
    <w:bookmarkEnd w:id="217"/>
    <w:bookmarkStart w:id="219"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8">
        <w:r>
          <w:rPr>
            <w:rStyle w:val="Hyperlink"/>
          </w:rPr>
          <w:t xml:space="preserve">https://doi.org/10.32614/cran.package.geomorph</w:t>
        </w:r>
      </w:hyperlink>
    </w:p>
    <w:bookmarkEnd w:id="219"/>
    <w:bookmarkStart w:id="22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20">
        <w:r>
          <w:rPr>
            <w:rStyle w:val="Hyperlink"/>
          </w:rPr>
          <w:t xml:space="preserve">https://doi.org/10.1002/evl3.175</w:t>
        </w:r>
      </w:hyperlink>
    </w:p>
    <w:bookmarkEnd w:id="221"/>
    <w:bookmarkStart w:id="223"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2">
        <w:r>
          <w:rPr>
            <w:rStyle w:val="Hyperlink"/>
          </w:rPr>
          <w:t xml:space="preserve">https://doi.org/10.1111/2041-210x.13723</w:t>
        </w:r>
      </w:hyperlink>
    </w:p>
    <w:bookmarkEnd w:id="223"/>
    <w:bookmarkStart w:id="225"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4">
        <w:r>
          <w:rPr>
            <w:rStyle w:val="Hyperlink"/>
          </w:rPr>
          <w:t xml:space="preserve">https://doi.org/10.1093/oso/9780198577287.001.0001</w:t>
        </w:r>
      </w:hyperlink>
    </w:p>
    <w:bookmarkEnd w:id="225"/>
    <w:bookmarkStart w:id="227"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6">
        <w:r>
          <w:rPr>
            <w:rStyle w:val="Hyperlink"/>
          </w:rPr>
          <w:t xml:space="preserve">https://doi.org/10.1111/j.1420-9101.2008.01583.x</w:t>
        </w:r>
      </w:hyperlink>
    </w:p>
    <w:bookmarkEnd w:id="227"/>
    <w:bookmarkStart w:id="229"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8">
        <w:r>
          <w:rPr>
            <w:rStyle w:val="Hyperlink"/>
          </w:rPr>
          <w:t xml:space="preserve">https://doi.org/10.1371/journal.pone.0193874</w:t>
        </w:r>
      </w:hyperlink>
    </w:p>
    <w:bookmarkEnd w:id="229"/>
    <w:bookmarkStart w:id="231"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30">
        <w:r>
          <w:rPr>
            <w:rStyle w:val="Hyperlink"/>
          </w:rPr>
          <w:t xml:space="preserve">https://doi.org/10.1111/2041-210x.13029</w:t>
        </w:r>
      </w:hyperlink>
    </w:p>
    <w:bookmarkEnd w:id="231"/>
    <w:bookmarkStart w:id="233"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2">
        <w:r>
          <w:rPr>
            <w:rStyle w:val="Hyperlink"/>
          </w:rPr>
          <w:t xml:space="preserve">https://doi.org/10.32614/cran.package.rrpp</w:t>
        </w:r>
      </w:hyperlink>
    </w:p>
    <w:bookmarkEnd w:id="233"/>
    <w:bookmarkStart w:id="235"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4">
        <w:r>
          <w:rPr>
            <w:rStyle w:val="Hyperlink"/>
          </w:rPr>
          <w:t xml:space="preserve">https://dask.org</w:t>
        </w:r>
      </w:hyperlink>
    </w:p>
    <w:bookmarkEnd w:id="235"/>
    <w:bookmarkStart w:id="237"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6">
        <w:r>
          <w:rPr>
            <w:rStyle w:val="Hyperlink"/>
          </w:rPr>
          <w:t xml:space="preserve">https://doi.org/10.5281/zenodo.18257528</w:t>
        </w:r>
      </w:hyperlink>
    </w:p>
    <w:bookmarkEnd w:id="237"/>
    <w:bookmarkStart w:id="239"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8">
        <w:r>
          <w:rPr>
            <w:rStyle w:val="Hyperlink"/>
          </w:rPr>
          <w:t xml:space="preserve">https://doi.org/10.64898/2026.02.04.699496</w:t>
        </w:r>
      </w:hyperlink>
    </w:p>
    <w:bookmarkEnd w:id="239"/>
    <w:bookmarkStart w:id="241"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40">
        <w:r>
          <w:rPr>
            <w:rStyle w:val="Hyperlink"/>
          </w:rPr>
          <w:t xml:space="preserve">https://doi.org/10.3791/54056</w:t>
        </w:r>
      </w:hyperlink>
    </w:p>
    <w:bookmarkEnd w:id="241"/>
    <w:bookmarkStart w:id="243"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2">
        <w:r>
          <w:rPr>
            <w:rStyle w:val="Hyperlink"/>
          </w:rPr>
          <w:t xml:space="preserve">https://doi.org/10.1093/iob/obad008</w:t>
        </w:r>
      </w:hyperlink>
    </w:p>
    <w:bookmarkEnd w:id="243"/>
    <w:bookmarkStart w:id="245"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4">
        <w:r>
          <w:rPr>
            <w:rStyle w:val="Hyperlink"/>
          </w:rPr>
          <w:t xml:space="preserve">https://doi.org/10.5281/zenodo.2587555</w:t>
        </w:r>
      </w:hyperlink>
    </w:p>
    <w:bookmarkEnd w:id="245"/>
    <w:bookmarkStart w:id="247"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6">
        <w:r>
          <w:rPr>
            <w:rStyle w:val="Hyperlink"/>
          </w:rPr>
          <w:t xml:space="preserve">https://doi.org/10.1002/ece3.6929</w:t>
        </w:r>
      </w:hyperlink>
    </w:p>
    <w:bookmarkEnd w:id="247"/>
    <w:bookmarkStart w:id="249"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8">
        <w:r>
          <w:rPr>
            <w:rStyle w:val="Hyperlink"/>
          </w:rPr>
          <w:t xml:space="preserve">https://doi.org/10.1002/ece3.11503</w:t>
        </w:r>
      </w:hyperlink>
    </w:p>
    <w:bookmarkEnd w:id="249"/>
    <w:bookmarkStart w:id="251"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50">
        <w:r>
          <w:rPr>
            <w:rStyle w:val="Hyperlink"/>
          </w:rPr>
          <w:t xml:space="preserve">https://doi.org/10.1111/j.1095-8649.2009.02419.x</w:t>
        </w:r>
      </w:hyperlink>
    </w:p>
    <w:bookmarkEnd w:id="251"/>
    <w:bookmarkStart w:id="253"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2">
        <w:r>
          <w:rPr>
            <w:rStyle w:val="Hyperlink"/>
          </w:rPr>
          <w:t xml:space="preserve">https://doi.org/10.1371/journal.pcbi.1007128</w:t>
        </w:r>
      </w:hyperlink>
    </w:p>
    <w:bookmarkEnd w:id="253"/>
    <w:bookmarkStart w:id="255"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4">
        <w:r>
          <w:rPr>
            <w:rStyle w:val="Hyperlink"/>
          </w:rPr>
          <w:t xml:space="preserve">https://doi.org/10.1007/978-1-4614-7657-3_19</w:t>
        </w:r>
      </w:hyperlink>
    </w:p>
    <w:bookmarkEnd w:id="255"/>
    <w:bookmarkStart w:id="257"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6">
        <w:r>
          <w:rPr>
            <w:rStyle w:val="Hyperlink"/>
          </w:rPr>
          <w:t xml:space="preserve">https://doi.org/10.3233/978-1-61499-649-1-87</w:t>
        </w:r>
      </w:hyperlink>
    </w:p>
    <w:bookmarkEnd w:id="257"/>
    <w:bookmarkStart w:id="259"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8">
        <w:r>
          <w:rPr>
            <w:rStyle w:val="Hyperlink"/>
          </w:rPr>
          <w:t xml:space="preserve">https://doi.org/10.1038/s41467-020-19303-w</w:t>
        </w:r>
      </w:hyperlink>
    </w:p>
    <w:bookmarkEnd w:id="259"/>
    <w:bookmarkStart w:id="261"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60">
        <w:r>
          <w:rPr>
            <w:rStyle w:val="Hyperlink"/>
          </w:rPr>
          <w:t xml:space="preserve">https://doi.org/10.1186/1471-2148-13-277</w:t>
        </w:r>
      </w:hyperlink>
    </w:p>
    <w:bookmarkEnd w:id="261"/>
    <w:bookmarkStart w:id="263"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2">
        <w:r>
          <w:rPr>
            <w:rStyle w:val="Hyperlink"/>
          </w:rPr>
          <w:t xml:space="preserve">https://doi.org/10.1242/jeb.074948</w:t>
        </w:r>
      </w:hyperlink>
    </w:p>
    <w:bookmarkEnd w:id="263"/>
    <w:bookmarkStart w:id="265"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4">
        <w:r>
          <w:rPr>
            <w:rStyle w:val="Hyperlink"/>
          </w:rPr>
          <w:t xml:space="preserve">https://doi.org/10.2144/000112619</w:t>
        </w:r>
      </w:hyperlink>
    </w:p>
    <w:bookmarkEnd w:id="265"/>
    <w:bookmarkStart w:id="267"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6">
        <w:r>
          <w:rPr>
            <w:rStyle w:val="Hyperlink"/>
          </w:rPr>
          <w:t xml:space="preserve">https://doi.org/10.5281/zenodo.3773450</w:t>
        </w:r>
      </w:hyperlink>
    </w:p>
    <w:bookmarkEnd w:id="267"/>
    <w:bookmarkStart w:id="269" w:name="ref-jxVw2kt2"/>
    <w:p>
      <w:pPr>
        <w:pStyle w:val="Bibliography"/>
      </w:pPr>
      <w:r>
        <w:rPr>
          <w:iCs/>
          <w:i/>
        </w:rPr>
        <w:t xml:space="preserve">Overview</w:t>
      </w:r>
      <w:r>
        <w:t xml:space="preserve">. (n.d.). K3D-Jupyter. Retrieved October 30, 2026, from</w:t>
      </w:r>
      <w:r>
        <w:t xml:space="preserve"> </w:t>
      </w:r>
      <w:hyperlink r:id="rId268">
        <w:r>
          <w:rPr>
            <w:rStyle w:val="Hyperlink"/>
          </w:rPr>
          <w:t xml:space="preserve">https://k3d-jupyter.org/index.html</w:t>
        </w:r>
      </w:hyperlink>
    </w:p>
    <w:bookmarkEnd w:id="269"/>
    <w:bookmarkStart w:id="271"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70">
        <w:r>
          <w:rPr>
            <w:rStyle w:val="Hyperlink"/>
          </w:rPr>
          <w:t xml:space="preserve">https://www.R-project.org/</w:t>
        </w:r>
      </w:hyperlink>
    </w:p>
    <w:bookmarkEnd w:id="271"/>
    <w:bookmarkStart w:id="273"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2">
        <w:r>
          <w:rPr>
            <w:rStyle w:val="Hyperlink"/>
          </w:rPr>
          <w:t xml:space="preserve">https://doi.org/10.1186/s12915-020-0753-2</w:t>
        </w:r>
      </w:hyperlink>
    </w:p>
    <w:bookmarkEnd w:id="273"/>
    <w:bookmarkStart w:id="275"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4">
        <w:r>
          <w:rPr>
            <w:rStyle w:val="Hyperlink"/>
          </w:rPr>
          <w:t xml:space="preserve">https://doi.org/10.1146/annurev-genom-111720-081402</w:t>
        </w:r>
      </w:hyperlink>
    </w:p>
    <w:bookmarkEnd w:id="275"/>
    <w:bookmarkStart w:id="277"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6">
        <w:r>
          <w:rPr>
            <w:rStyle w:val="Hyperlink"/>
          </w:rPr>
          <w:t xml:space="preserve">https://doi.org/10.1111/2041-210x.13669</w:t>
        </w:r>
      </w:hyperlink>
    </w:p>
    <w:bookmarkEnd w:id="277"/>
    <w:bookmarkStart w:id="279"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8">
        <w:r>
          <w:rPr>
            <w:rStyle w:val="Hyperlink"/>
          </w:rPr>
          <w:t xml:space="preserve">https://doi.org/10.1038/nmeth.2019</w:t>
        </w:r>
      </w:hyperlink>
    </w:p>
    <w:bookmarkEnd w:id="279"/>
    <w:bookmarkStart w:id="281"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80">
        <w:r>
          <w:rPr>
            <w:rStyle w:val="Hyperlink"/>
          </w:rPr>
          <w:t xml:space="preserve">https://doi.org/10.1086/285404</w:t>
        </w:r>
      </w:hyperlink>
    </w:p>
    <w:bookmarkEnd w:id="281"/>
    <w:bookmarkStart w:id="283"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2">
        <w:r>
          <w:rPr>
            <w:rStyle w:val="Hyperlink"/>
          </w:rPr>
          <w:t xml:space="preserve">https://doi.org/10.5281/zenodo.3555620</w:t>
        </w:r>
      </w:hyperlink>
    </w:p>
    <w:bookmarkEnd w:id="283"/>
    <w:bookmarkStart w:id="285"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4">
        <w:r>
          <w:rPr>
            <w:rStyle w:val="Hyperlink"/>
          </w:rPr>
          <w:t xml:space="preserve">https://www.stratovan.com/products/checkpoint</w:t>
        </w:r>
      </w:hyperlink>
    </w:p>
    <w:bookmarkEnd w:id="285"/>
    <w:bookmarkStart w:id="287"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6">
        <w:r>
          <w:rPr>
            <w:rStyle w:val="Hyperlink"/>
          </w:rPr>
          <w:t xml:space="preserve">https://doi.org/10.1007/s10228-004-0251-5</w:t>
        </w:r>
      </w:hyperlink>
    </w:p>
    <w:bookmarkEnd w:id="287"/>
    <w:bookmarkStart w:id="289"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8">
        <w:r>
          <w:rPr>
            <w:rStyle w:val="Hyperlink"/>
          </w:rPr>
          <w:t xml:space="preserve">https://orbi.uliege.be/handle/2268/14698</w:t>
        </w:r>
      </w:hyperlink>
    </w:p>
    <w:bookmarkEnd w:id="289"/>
    <w:bookmarkStart w:id="291"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90">
        <w:r>
          <w:rPr>
            <w:rStyle w:val="Hyperlink"/>
          </w:rPr>
          <w:t xml:space="preserve">https://doi.org/10.1111/j.1095-8312.2010.01531.x</w:t>
        </w:r>
      </w:hyperlink>
    </w:p>
    <w:bookmarkEnd w:id="291"/>
    <w:bookmarkStart w:id="293"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2">
        <w:r>
          <w:rPr>
            <w:rStyle w:val="Hyperlink"/>
          </w:rPr>
          <w:t xml:space="preserve">https://doi.org/10.6688/jise.2001.17.5.1</w:t>
        </w:r>
      </w:hyperlink>
    </w:p>
    <w:bookmarkEnd w:id="293"/>
    <w:bookmarkEnd w:id="294"/>
    <w:bookmarkEnd w:id="295"/>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210" Target="media/rId210.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3" Target="https://credit.niso.org/" TargetMode="External" /><Relationship Type="http://schemas.openxmlformats.org/officeDocument/2006/relationships/hyperlink" Id="rId174" Target="https://credit.niso.org/contributor-roles/conceptualization/" TargetMode="External" /><Relationship Type="http://schemas.openxmlformats.org/officeDocument/2006/relationships/hyperlink" Id="rId175" Target="https://credit.niso.org/contributor-roles/data-curation/" TargetMode="External" /><Relationship Type="http://schemas.openxmlformats.org/officeDocument/2006/relationships/hyperlink" Id="rId176" Target="https://credit.niso.org/contributor-roles/formal-analysis/" TargetMode="External" /><Relationship Type="http://schemas.openxmlformats.org/officeDocument/2006/relationships/hyperlink" Id="rId177" Target="https://credit.niso.org/contributor-roles/funding-acquisition/" TargetMode="External" /><Relationship Type="http://schemas.openxmlformats.org/officeDocument/2006/relationships/hyperlink" Id="rId178" Target="https://credit.niso.org/contributor-roles/investigation/" TargetMode="External" /><Relationship Type="http://schemas.openxmlformats.org/officeDocument/2006/relationships/hyperlink" Id="rId179" Target="https://credit.niso.org/contributor-roles/methodology/" TargetMode="External" /><Relationship Type="http://schemas.openxmlformats.org/officeDocument/2006/relationships/hyperlink" Id="rId180" Target="https://credit.niso.org/contributor-roles/project-administration/" TargetMode="External" /><Relationship Type="http://schemas.openxmlformats.org/officeDocument/2006/relationships/hyperlink" Id="rId181" Target="https://credit.niso.org/contributor-roles/resources/" TargetMode="External" /><Relationship Type="http://schemas.openxmlformats.org/officeDocument/2006/relationships/hyperlink" Id="rId182" Target="https://credit.niso.org/contributor-roles/software/" TargetMode="External" /><Relationship Type="http://schemas.openxmlformats.org/officeDocument/2006/relationships/hyperlink" Id="rId183" Target="https://credit.niso.org/contributor-roles/supervision/" TargetMode="External" /><Relationship Type="http://schemas.openxmlformats.org/officeDocument/2006/relationships/hyperlink" Id="rId184" Target="https://credit.niso.org/contributor-roles/validation/" TargetMode="External" /><Relationship Type="http://schemas.openxmlformats.org/officeDocument/2006/relationships/hyperlink" Id="rId185" Target="https://credit.niso.org/contributor-roles/visualization/" TargetMode="External" /><Relationship Type="http://schemas.openxmlformats.org/officeDocument/2006/relationships/hyperlink" Id="rId186" Target="https://credit.niso.org/contributor-roles/writing---original-draft/" TargetMode="External" /><Relationship Type="http://schemas.openxmlformats.org/officeDocument/2006/relationships/hyperlink" Id="rId187" Target="https://credit.niso.org/contributor-roles/writing---review-&amp;-editing/" TargetMode="External" /><Relationship Type="http://schemas.openxmlformats.org/officeDocument/2006/relationships/hyperlink" Id="rId234" Target="https://dask.org" TargetMode="External" /><Relationship Type="http://schemas.openxmlformats.org/officeDocument/2006/relationships/hyperlink" Id="rId248" Target="https://doi.org/10.1002/ece3.11503" TargetMode="External" /><Relationship Type="http://schemas.openxmlformats.org/officeDocument/2006/relationships/hyperlink" Id="rId246" Target="https://doi.org/10.1002/ece3.6929" TargetMode="External" /><Relationship Type="http://schemas.openxmlformats.org/officeDocument/2006/relationships/hyperlink" Id="rId220" Target="https://doi.org/10.1002/evl3.175" TargetMode="External" /><Relationship Type="http://schemas.openxmlformats.org/officeDocument/2006/relationships/hyperlink" Id="rId254" Target="https://doi.org/10.1007/978-1-4614-7657-3_19" TargetMode="External" /><Relationship Type="http://schemas.openxmlformats.org/officeDocument/2006/relationships/hyperlink" Id="rId286" Target="https://doi.org/10.1007/s10228-004-0251-5" TargetMode="External" /><Relationship Type="http://schemas.openxmlformats.org/officeDocument/2006/relationships/hyperlink" Id="rId278" Target="https://doi.org/10.1038/nmeth.2019" TargetMode="External" /><Relationship Type="http://schemas.openxmlformats.org/officeDocument/2006/relationships/hyperlink" Id="rId258" Target="https://doi.org/10.1038/s41467-020-19303-w" TargetMode="External" /><Relationship Type="http://schemas.openxmlformats.org/officeDocument/2006/relationships/hyperlink" Id="rId280" Target="https://doi.org/10.1086/285404" TargetMode="External" /><Relationship Type="http://schemas.openxmlformats.org/officeDocument/2006/relationships/hyperlink" Id="rId242" Target="https://doi.org/10.1093/iob/obad008" TargetMode="External" /><Relationship Type="http://schemas.openxmlformats.org/officeDocument/2006/relationships/hyperlink" Id="rId224" Target="https://doi.org/10.1093/oso/9780198577287.001.0001" TargetMode="External" /><Relationship Type="http://schemas.openxmlformats.org/officeDocument/2006/relationships/hyperlink" Id="rId230" Target="https://doi.org/10.1111/2041-210x.13029" TargetMode="External" /><Relationship Type="http://schemas.openxmlformats.org/officeDocument/2006/relationships/hyperlink" Id="rId276" Target="https://doi.org/10.1111/2041-210x.13669" TargetMode="External" /><Relationship Type="http://schemas.openxmlformats.org/officeDocument/2006/relationships/hyperlink" Id="rId222" Target="https://doi.org/10.1111/2041-210x.13723" TargetMode="External" /><Relationship Type="http://schemas.openxmlformats.org/officeDocument/2006/relationships/hyperlink" Id="rId290" Target="https://doi.org/10.1111/j.1095-8312.2010.01531.x" TargetMode="External" /><Relationship Type="http://schemas.openxmlformats.org/officeDocument/2006/relationships/hyperlink" Id="rId250" Target="https://doi.org/10.1111/j.1095-8649.2009.02419.x" TargetMode="External" /><Relationship Type="http://schemas.openxmlformats.org/officeDocument/2006/relationships/hyperlink" Id="rId226" Target="https://doi.org/10.1111/j.1420-9101.2008.01583.x" TargetMode="External" /><Relationship Type="http://schemas.openxmlformats.org/officeDocument/2006/relationships/hyperlink" Id="rId274" Target="https://doi.org/10.1146/annurev-genom-111720-081402" TargetMode="External" /><Relationship Type="http://schemas.openxmlformats.org/officeDocument/2006/relationships/hyperlink" Id="rId260" Target="https://doi.org/10.1186/1471-2148-13-277" TargetMode="External" /><Relationship Type="http://schemas.openxmlformats.org/officeDocument/2006/relationships/hyperlink" Id="rId272" Target="https://doi.org/10.1186/s12915-020-0753-2" TargetMode="External" /><Relationship Type="http://schemas.openxmlformats.org/officeDocument/2006/relationships/hyperlink" Id="rId262" Target="https://doi.org/10.1242/jeb.074948" TargetMode="External" /><Relationship Type="http://schemas.openxmlformats.org/officeDocument/2006/relationships/hyperlink" Id="rId252" Target="https://doi.org/10.1371/journal.pcbi.1007128" TargetMode="External" /><Relationship Type="http://schemas.openxmlformats.org/officeDocument/2006/relationships/hyperlink" Id="rId228" Target="https://doi.org/10.1371/journal.pone.0193874" TargetMode="External" /><Relationship Type="http://schemas.openxmlformats.org/officeDocument/2006/relationships/hyperlink" Id="rId264" Target="https://doi.org/10.2144/000112619" TargetMode="External" /><Relationship Type="http://schemas.openxmlformats.org/officeDocument/2006/relationships/hyperlink" Id="rId256" Target="https://doi.org/10.3233/978-1-61499-649-1-87" TargetMode="External" /><Relationship Type="http://schemas.openxmlformats.org/officeDocument/2006/relationships/hyperlink" Id="rId218" Target="https://doi.org/10.32614/cran.package.geomorph" TargetMode="External" /><Relationship Type="http://schemas.openxmlformats.org/officeDocument/2006/relationships/hyperlink" Id="rId232" Target="https://doi.org/10.32614/cran.package.rrpp" TargetMode="External" /><Relationship Type="http://schemas.openxmlformats.org/officeDocument/2006/relationships/hyperlink" Id="rId216" Target="https://doi.org/10.3789/ansi.niso.z39.104-2022" TargetMode="External" /><Relationship Type="http://schemas.openxmlformats.org/officeDocument/2006/relationships/hyperlink" Id="rId240" Target="https://doi.org/10.3791/54056" TargetMode="External" /><Relationship Type="http://schemas.openxmlformats.org/officeDocument/2006/relationships/hyperlink" Id="rId236" Target="https://doi.org/10.5281/zenodo.18257528" TargetMode="External" /><Relationship Type="http://schemas.openxmlformats.org/officeDocument/2006/relationships/hyperlink" Id="rId244" Target="https://doi.org/10.5281/zenodo.2587555" TargetMode="External" /><Relationship Type="http://schemas.openxmlformats.org/officeDocument/2006/relationships/hyperlink" Id="rId282" Target="https://doi.org/10.5281/zenodo.3555620" TargetMode="External" /><Relationship Type="http://schemas.openxmlformats.org/officeDocument/2006/relationships/hyperlink" Id="rId266" Target="https://doi.org/10.5281/zenodo.3773450" TargetMode="External" /><Relationship Type="http://schemas.openxmlformats.org/officeDocument/2006/relationships/hyperlink" Id="rId238" Target="https://doi.org/10.64898/2026.02.04.699496" TargetMode="External" /><Relationship Type="http://schemas.openxmlformats.org/officeDocument/2006/relationships/hyperlink" Id="rId292"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1"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7" Target="https://github.com/habi/sticklebacks-manuscript/blob/main/content/scripts/Morphometrics_RScript.R" TargetMode="External" /><Relationship Type="http://schemas.openxmlformats.org/officeDocument/2006/relationships/hyperlink" Id="rId204" Target="https://github.com/habi/sticklebacks-manuscript/blob/main/content/scripts/Resample_Curve.py" TargetMode="External" /><Relationship Type="http://schemas.openxmlformats.org/officeDocument/2006/relationships/hyperlink" Id="rId24" Target="https://github.com/habi/sticklebacks-manuscript/compare/v1.0...028463252501bc5bb7c4c09d098eaa8cc6d2f3e5#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5"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028463252501bc5bb7c4c09d098eaa8cc6d2f3e5"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98" Target="https://github.com/habi/sticklebacks/blob/main/PrepareForMorphoSource.ipynb" TargetMode="External" /><Relationship Type="http://schemas.openxmlformats.org/officeDocument/2006/relationships/hyperlink" Id="rId146" Target="https://github.com/habi/sticklebacks/blob/main/logfiles/BucketOfFish_H/Sticklebucket_H.rec.Labels.Check.png"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028463252501bc5bb7c4c09d098eaa8cc6d2f3e5/"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8"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2"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8"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0"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99" Target="https://www.morphosource.org/projects/000885106" TargetMode="External" /><Relationship Type="http://schemas.openxmlformats.org/officeDocument/2006/relationships/hyperlink" Id="rId284"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3" Target="https://credit.niso.org/" TargetMode="External" /><Relationship Type="http://schemas.openxmlformats.org/officeDocument/2006/relationships/hyperlink" Id="rId174" Target="https://credit.niso.org/contributor-roles/conceptualization/" TargetMode="External" /><Relationship Type="http://schemas.openxmlformats.org/officeDocument/2006/relationships/hyperlink" Id="rId175" Target="https://credit.niso.org/contributor-roles/data-curation/" TargetMode="External" /><Relationship Type="http://schemas.openxmlformats.org/officeDocument/2006/relationships/hyperlink" Id="rId176" Target="https://credit.niso.org/contributor-roles/formal-analysis/" TargetMode="External" /><Relationship Type="http://schemas.openxmlformats.org/officeDocument/2006/relationships/hyperlink" Id="rId177" Target="https://credit.niso.org/contributor-roles/funding-acquisition/" TargetMode="External" /><Relationship Type="http://schemas.openxmlformats.org/officeDocument/2006/relationships/hyperlink" Id="rId178" Target="https://credit.niso.org/contributor-roles/investigation/" TargetMode="External" /><Relationship Type="http://schemas.openxmlformats.org/officeDocument/2006/relationships/hyperlink" Id="rId179" Target="https://credit.niso.org/contributor-roles/methodology/" TargetMode="External" /><Relationship Type="http://schemas.openxmlformats.org/officeDocument/2006/relationships/hyperlink" Id="rId180" Target="https://credit.niso.org/contributor-roles/project-administration/" TargetMode="External" /><Relationship Type="http://schemas.openxmlformats.org/officeDocument/2006/relationships/hyperlink" Id="rId181" Target="https://credit.niso.org/contributor-roles/resources/" TargetMode="External" /><Relationship Type="http://schemas.openxmlformats.org/officeDocument/2006/relationships/hyperlink" Id="rId182" Target="https://credit.niso.org/contributor-roles/software/" TargetMode="External" /><Relationship Type="http://schemas.openxmlformats.org/officeDocument/2006/relationships/hyperlink" Id="rId183" Target="https://credit.niso.org/contributor-roles/supervision/" TargetMode="External" /><Relationship Type="http://schemas.openxmlformats.org/officeDocument/2006/relationships/hyperlink" Id="rId184" Target="https://credit.niso.org/contributor-roles/validation/" TargetMode="External" /><Relationship Type="http://schemas.openxmlformats.org/officeDocument/2006/relationships/hyperlink" Id="rId185" Target="https://credit.niso.org/contributor-roles/visualization/" TargetMode="External" /><Relationship Type="http://schemas.openxmlformats.org/officeDocument/2006/relationships/hyperlink" Id="rId186" Target="https://credit.niso.org/contributor-roles/writing---original-draft/" TargetMode="External" /><Relationship Type="http://schemas.openxmlformats.org/officeDocument/2006/relationships/hyperlink" Id="rId187" Target="https://credit.niso.org/contributor-roles/writing---review-&amp;-editing/" TargetMode="External" /><Relationship Type="http://schemas.openxmlformats.org/officeDocument/2006/relationships/hyperlink" Id="rId234" Target="https://dask.org" TargetMode="External" /><Relationship Type="http://schemas.openxmlformats.org/officeDocument/2006/relationships/hyperlink" Id="rId248" Target="https://doi.org/10.1002/ece3.11503" TargetMode="External" /><Relationship Type="http://schemas.openxmlformats.org/officeDocument/2006/relationships/hyperlink" Id="rId246" Target="https://doi.org/10.1002/ece3.6929" TargetMode="External" /><Relationship Type="http://schemas.openxmlformats.org/officeDocument/2006/relationships/hyperlink" Id="rId220" Target="https://doi.org/10.1002/evl3.175" TargetMode="External" /><Relationship Type="http://schemas.openxmlformats.org/officeDocument/2006/relationships/hyperlink" Id="rId254" Target="https://doi.org/10.1007/978-1-4614-7657-3_19" TargetMode="External" /><Relationship Type="http://schemas.openxmlformats.org/officeDocument/2006/relationships/hyperlink" Id="rId286" Target="https://doi.org/10.1007/s10228-004-0251-5" TargetMode="External" /><Relationship Type="http://schemas.openxmlformats.org/officeDocument/2006/relationships/hyperlink" Id="rId278" Target="https://doi.org/10.1038/nmeth.2019" TargetMode="External" /><Relationship Type="http://schemas.openxmlformats.org/officeDocument/2006/relationships/hyperlink" Id="rId258" Target="https://doi.org/10.1038/s41467-020-19303-w" TargetMode="External" /><Relationship Type="http://schemas.openxmlformats.org/officeDocument/2006/relationships/hyperlink" Id="rId280" Target="https://doi.org/10.1086/285404" TargetMode="External" /><Relationship Type="http://schemas.openxmlformats.org/officeDocument/2006/relationships/hyperlink" Id="rId242" Target="https://doi.org/10.1093/iob/obad008" TargetMode="External" /><Relationship Type="http://schemas.openxmlformats.org/officeDocument/2006/relationships/hyperlink" Id="rId224" Target="https://doi.org/10.1093/oso/9780198577287.001.0001" TargetMode="External" /><Relationship Type="http://schemas.openxmlformats.org/officeDocument/2006/relationships/hyperlink" Id="rId230" Target="https://doi.org/10.1111/2041-210x.13029" TargetMode="External" /><Relationship Type="http://schemas.openxmlformats.org/officeDocument/2006/relationships/hyperlink" Id="rId276" Target="https://doi.org/10.1111/2041-210x.13669" TargetMode="External" /><Relationship Type="http://schemas.openxmlformats.org/officeDocument/2006/relationships/hyperlink" Id="rId222" Target="https://doi.org/10.1111/2041-210x.13723" TargetMode="External" /><Relationship Type="http://schemas.openxmlformats.org/officeDocument/2006/relationships/hyperlink" Id="rId290" Target="https://doi.org/10.1111/j.1095-8312.2010.01531.x" TargetMode="External" /><Relationship Type="http://schemas.openxmlformats.org/officeDocument/2006/relationships/hyperlink" Id="rId250" Target="https://doi.org/10.1111/j.1095-8649.2009.02419.x" TargetMode="External" /><Relationship Type="http://schemas.openxmlformats.org/officeDocument/2006/relationships/hyperlink" Id="rId226" Target="https://doi.org/10.1111/j.1420-9101.2008.01583.x" TargetMode="External" /><Relationship Type="http://schemas.openxmlformats.org/officeDocument/2006/relationships/hyperlink" Id="rId274" Target="https://doi.org/10.1146/annurev-genom-111720-081402" TargetMode="External" /><Relationship Type="http://schemas.openxmlformats.org/officeDocument/2006/relationships/hyperlink" Id="rId260" Target="https://doi.org/10.1186/1471-2148-13-277" TargetMode="External" /><Relationship Type="http://schemas.openxmlformats.org/officeDocument/2006/relationships/hyperlink" Id="rId272" Target="https://doi.org/10.1186/s12915-020-0753-2" TargetMode="External" /><Relationship Type="http://schemas.openxmlformats.org/officeDocument/2006/relationships/hyperlink" Id="rId262" Target="https://doi.org/10.1242/jeb.074948" TargetMode="External" /><Relationship Type="http://schemas.openxmlformats.org/officeDocument/2006/relationships/hyperlink" Id="rId252" Target="https://doi.org/10.1371/journal.pcbi.1007128" TargetMode="External" /><Relationship Type="http://schemas.openxmlformats.org/officeDocument/2006/relationships/hyperlink" Id="rId228" Target="https://doi.org/10.1371/journal.pone.0193874" TargetMode="External" /><Relationship Type="http://schemas.openxmlformats.org/officeDocument/2006/relationships/hyperlink" Id="rId264" Target="https://doi.org/10.2144/000112619" TargetMode="External" /><Relationship Type="http://schemas.openxmlformats.org/officeDocument/2006/relationships/hyperlink" Id="rId256" Target="https://doi.org/10.3233/978-1-61499-649-1-87" TargetMode="External" /><Relationship Type="http://schemas.openxmlformats.org/officeDocument/2006/relationships/hyperlink" Id="rId218" Target="https://doi.org/10.32614/cran.package.geomorph" TargetMode="External" /><Relationship Type="http://schemas.openxmlformats.org/officeDocument/2006/relationships/hyperlink" Id="rId232" Target="https://doi.org/10.32614/cran.package.rrpp" TargetMode="External" /><Relationship Type="http://schemas.openxmlformats.org/officeDocument/2006/relationships/hyperlink" Id="rId216" Target="https://doi.org/10.3789/ansi.niso.z39.104-2022" TargetMode="External" /><Relationship Type="http://schemas.openxmlformats.org/officeDocument/2006/relationships/hyperlink" Id="rId240" Target="https://doi.org/10.3791/54056" TargetMode="External" /><Relationship Type="http://schemas.openxmlformats.org/officeDocument/2006/relationships/hyperlink" Id="rId236" Target="https://doi.org/10.5281/zenodo.18257528" TargetMode="External" /><Relationship Type="http://schemas.openxmlformats.org/officeDocument/2006/relationships/hyperlink" Id="rId244" Target="https://doi.org/10.5281/zenodo.2587555" TargetMode="External" /><Relationship Type="http://schemas.openxmlformats.org/officeDocument/2006/relationships/hyperlink" Id="rId282" Target="https://doi.org/10.5281/zenodo.3555620" TargetMode="External" /><Relationship Type="http://schemas.openxmlformats.org/officeDocument/2006/relationships/hyperlink" Id="rId266" Target="https://doi.org/10.5281/zenodo.3773450" TargetMode="External" /><Relationship Type="http://schemas.openxmlformats.org/officeDocument/2006/relationships/hyperlink" Id="rId238" Target="https://doi.org/10.64898/2026.02.04.699496" TargetMode="External" /><Relationship Type="http://schemas.openxmlformats.org/officeDocument/2006/relationships/hyperlink" Id="rId292"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1"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7" Target="https://github.com/habi/sticklebacks-manuscript/blob/main/content/scripts/Morphometrics_RScript.R" TargetMode="External" /><Relationship Type="http://schemas.openxmlformats.org/officeDocument/2006/relationships/hyperlink" Id="rId204" Target="https://github.com/habi/sticklebacks-manuscript/blob/main/content/scripts/Resample_Curve.py" TargetMode="External" /><Relationship Type="http://schemas.openxmlformats.org/officeDocument/2006/relationships/hyperlink" Id="rId24" Target="https://github.com/habi/sticklebacks-manuscript/compare/v1.0...028463252501bc5bb7c4c09d098eaa8cc6d2f3e5#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5"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028463252501bc5bb7c4c09d098eaa8cc6d2f3e5"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98" Target="https://github.com/habi/sticklebacks/blob/main/PrepareForMorphoSource.ipynb" TargetMode="External" /><Relationship Type="http://schemas.openxmlformats.org/officeDocument/2006/relationships/hyperlink" Id="rId146" Target="https://github.com/habi/sticklebacks/blob/main/logfiles/BucketOfFish_H/Sticklebucket_H.rec.Labels.Check.png"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028463252501bc5bb7c4c09d098eaa8cc6d2f3e5/"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8"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2"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8"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0"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99" Target="https://www.morphosource.org/projects/000885106" TargetMode="External" /><Relationship Type="http://schemas.openxmlformats.org/officeDocument/2006/relationships/hyperlink" Id="rId284"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2026-10-30T16:56:37Z</dcterms:created>
  <dcterms:modified xsi:type="dcterms:W3CDTF">2026-10-30T16:56:37Z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2026-10-30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