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1135E" w14:textId="02A25843" w:rsidR="006B1FD8" w:rsidRDefault="00923264">
      <w:pPr>
        <w:pStyle w:val="Heading2"/>
      </w:pPr>
      <w:bookmarkStart w:id="0" w:name="abstract"/>
      <w:r>
        <w:t>Abstract</w:t>
      </w:r>
    </w:p>
    <w:p w14:paraId="2330BD10" w14:textId="77777777" w:rsidR="006B1FD8" w:rsidRDefault="00923264">
      <w:pPr>
        <w:pStyle w:val="FirstParagraph"/>
      </w:pPr>
      <w:r>
        <w:t>The threespine stickleback is a well-recognized model system for understanding adaptation to divergent habitats. Benthic (benthos-feeding) and limnetic (water-column-feeding) stickleback populations differ in phenotypic traits associated with dietary specialization. Modern investigations of evolutionary change in this organism often require the analysis of hundreds, if not thousands, of individuals. However, analyses of feeding structures—particularly the jaws and complex internal branchial anatomy—remain time-consuming and require considerable expertise, with destructive sampling and fine dissection skills needed for quantitative analysis.</w:t>
      </w:r>
    </w:p>
    <w:p w14:paraId="1FD1E655" w14:textId="77777777" w:rsidR="006B1FD8" w:rsidRDefault="00923264">
      <w:pPr>
        <w:pStyle w:val="BodyText"/>
      </w:pPr>
      <w:r>
        <w:t>The advent of X-ray microtomography and three-dimensional scanning technologies enables non-destructive imaging and greatly increases the availability of high-resolution morphological data. However, the resulting increase in data complexity and processing demands often makes these approaches impractical for large-scale studies, especially at population scales that often require measuring and analyzing hundreds to thousands of specimens.</w:t>
      </w:r>
    </w:p>
    <w:p w14:paraId="527E0459" w14:textId="77777777" w:rsidR="006B1FD8" w:rsidRDefault="00923264">
      <w:pPr>
        <w:pStyle w:val="BodyText"/>
      </w:pPr>
      <w:r>
        <w:t>To address these challenges, we developed a rapid and semi-automated segmentation and analysis pipeline based on the Jupyter interactive development environment and the Biomedisa image segmentation platform to investigate three-dimensional morphological adaptation in the threespine stickleback (</w:t>
      </w:r>
      <w:r>
        <w:rPr>
          <w:i/>
          <w:iCs/>
        </w:rPr>
        <w:t>Gasterosteus aculeatus</w:t>
      </w:r>
      <w:r>
        <w:t>).</w:t>
      </w:r>
    </w:p>
    <w:p w14:paraId="00A7B0CF" w14:textId="555EDC47" w:rsidR="00FC555B" w:rsidRPr="00FF13D0" w:rsidRDefault="00923264" w:rsidP="00FF13D0">
      <w:pPr>
        <w:pStyle w:val="BodyText"/>
      </w:pPr>
      <w:r>
        <w:t>The pipeline includes separation of multi-specimen scans into individual regions of interest, reconstruction of targeted anatomical structures, and morphometric analyses. We applied this pipeline to 38 multi-specimen scans comprising 215 specimens from divergent benthic and limnetic stickleback populations, demonstrating the potential of a high-throughput micro-CT imaging approach for testing ecological and evolutionary hypotheses. These replicable, clade-agnostic methods provide a scalable pipeline that researchers working across diverse systems can adapt for high-throughput microCT sampling at scale.</w:t>
      </w:r>
      <w:bookmarkStart w:id="1" w:name="introduction"/>
      <w:bookmarkEnd w:id="0"/>
      <w:r w:rsidR="00FC555B">
        <w:br w:type="page"/>
      </w:r>
    </w:p>
    <w:p w14:paraId="22708894" w14:textId="673F40D9" w:rsidR="006B1FD8" w:rsidRDefault="00923264">
      <w:pPr>
        <w:pStyle w:val="Heading2"/>
      </w:pPr>
      <w:r>
        <w:lastRenderedPageBreak/>
        <w:t>Introduction</w:t>
      </w:r>
    </w:p>
    <w:p w14:paraId="52345B99" w14:textId="71F421A8" w:rsidR="006B1FD8" w:rsidRDefault="00923264">
      <w:pPr>
        <w:pStyle w:val="FirstParagraph"/>
      </w:pPr>
      <w:r>
        <w:t xml:space="preserve">The </w:t>
      </w:r>
      <w:proofErr w:type="gramStart"/>
      <w:r>
        <w:t>threespine stickleback</w:t>
      </w:r>
      <w:proofErr w:type="gramEnd"/>
      <w:r>
        <w:t xml:space="preserve"> (</w:t>
      </w:r>
      <w:r>
        <w:rPr>
          <w:i/>
          <w:iCs/>
        </w:rPr>
        <w:t>Gasterosteus aculeatus</w:t>
      </w:r>
      <w:r>
        <w:t>) is a well-established model system for understanding the independent evolution of similar traits in similar environments (</w:t>
      </w:r>
      <w:hyperlink w:anchor="ref-G9fXCoFb">
        <w:r>
          <w:rPr>
            <w:rStyle w:val="Hyperlink"/>
          </w:rPr>
          <w:t>Bell &amp; Foster, 1994</w:t>
        </w:r>
      </w:hyperlink>
      <w:r>
        <w:t xml:space="preserve">; </w:t>
      </w:r>
      <w:hyperlink w:anchor="ref-tyLSEVnP">
        <w:r>
          <w:rPr>
            <w:rStyle w:val="Hyperlink"/>
          </w:rPr>
          <w:t>Reid et al., 2021</w:t>
        </w:r>
      </w:hyperlink>
      <w:r>
        <w:t xml:space="preserve">). This species exhibits marked differences in marine–freshwater, lake–stream, and benthic–limnetic ecotypes </w:t>
      </w:r>
      <w:r w:rsidR="00693A04">
        <w:t>([ANONYMIZED];</w:t>
      </w:r>
      <w:r>
        <w:t xml:space="preserve"> </w:t>
      </w:r>
      <w:hyperlink w:anchor="ref-1Dlme4sp5">
        <w:r>
          <w:rPr>
            <w:rStyle w:val="Hyperlink"/>
          </w:rPr>
          <w:t>Schluter &amp; McPhail, 1992</w:t>
        </w:r>
      </w:hyperlink>
      <w:r>
        <w:t>). This study focused on the benthic-limnetic axis, which resolves distinct stickleback ecotypes based primarily on dietary ecology (benthic stickleback forage on macroinvertebrates on the bottom of lakes; limnetic stickleback forage on zooplankton within the water column—see (</w:t>
      </w:r>
      <w:hyperlink w:anchor="ref-Tw8w7mV3">
        <w:r>
          <w:rPr>
            <w:rStyle w:val="Hyperlink"/>
          </w:rPr>
          <w:t>WILLACKER et al., 2010</w:t>
        </w:r>
      </w:hyperlink>
      <w:r>
        <w:t xml:space="preserve">)). Samples for this study were collected from the benthic and limnetic source populations used to establish a long-term evolutionary experiment within the </w:t>
      </w:r>
      <w:r w:rsidR="00693A04">
        <w:t>[ANONYMIZED]</w:t>
      </w:r>
      <w:r>
        <w:t xml:space="preserve"> (</w:t>
      </w:r>
      <w:r w:rsidR="00693A04">
        <w:t>[ANONYMIZED]</w:t>
      </w:r>
      <w:r>
        <w:t xml:space="preserve">). This project, the </w:t>
      </w:r>
      <w:r w:rsidR="001C76E4">
        <w:t>[ANONYMIZED]</w:t>
      </w:r>
      <w:r>
        <w:t xml:space="preserve">, aims to study the predictability and repeatability of evolution. Two pools of sticklebacks—one made from four source populations of limnetic </w:t>
      </w:r>
      <w:proofErr w:type="gramStart"/>
      <w:r>
        <w:t>sticklebacks</w:t>
      </w:r>
      <w:proofErr w:type="gramEnd"/>
      <w:r>
        <w:t xml:space="preserve"> and one made from four source populations of benthic sticklebacks—have been placed into </w:t>
      </w:r>
      <w:r w:rsidR="001C76E4">
        <w:t xml:space="preserve">[ANONYMIZED] </w:t>
      </w:r>
      <w:r>
        <w:t>destination lakes,</w:t>
      </w:r>
      <w:r w:rsidR="001C76E4">
        <w:t xml:space="preserve"> [ANONYMIZED] </w:t>
      </w:r>
      <w:r>
        <w:t>of which are small and benthic and</w:t>
      </w:r>
      <w:r w:rsidR="001C76E4">
        <w:t xml:space="preserve"> [ANONYMIZED] </w:t>
      </w:r>
      <w:r>
        <w:t>of which are large and limnetic. These new populations have been sampled every year to track the genotypic and phenotypic trajectories of these introduced populations. Understanding the initial variation in the source populations is essential to this project, as it provides the raw material for evolution in the destination lakes.</w:t>
      </w:r>
    </w:p>
    <w:p w14:paraId="3DAAE183" w14:textId="77777777" w:rsidR="006B1FD8" w:rsidRDefault="00923264">
      <w:pPr>
        <w:pStyle w:val="BodyText"/>
      </w:pPr>
      <w:r>
        <w:t>Among sticklebacks and other bony fishes, differences in jaw structures are directly related to functional and kinematic differences between different ecotypes (</w:t>
      </w:r>
      <w:hyperlink w:anchor="ref-a5G6tHdh">
        <w:r>
          <w:rPr>
            <w:rStyle w:val="Hyperlink"/>
          </w:rPr>
          <w:t>Haines et al., 2020</w:t>
        </w:r>
      </w:hyperlink>
      <w:r>
        <w:t>). Benthic sticklebacks have modified jaws for enhanced suction force and hypertrophied epaxial muscles to aid in foraging on benthic invertebrates, whereas limnetic sticklebacks have modifications for larger jaw protrusions and quick strikes during ram feeding (</w:t>
      </w:r>
      <w:hyperlink w:anchor="ref-ZUWTpAJ8">
        <w:r>
          <w:rPr>
            <w:rStyle w:val="Hyperlink"/>
          </w:rPr>
          <w:t>McGee et al., 2013</w:t>
        </w:r>
      </w:hyperlink>
      <w:r>
        <w:t xml:space="preserve">). The internal hyoid arch-branchial arch complex is an important structure implicated in diet and feeding </w:t>
      </w:r>
      <w:r>
        <w:lastRenderedPageBreak/>
        <w:t>ecology (</w:t>
      </w:r>
      <w:hyperlink w:anchor="ref-10CsDLwDV">
        <w:r>
          <w:rPr>
            <w:rStyle w:val="Hyperlink"/>
          </w:rPr>
          <w:t>BERNER et al., 2008</w:t>
        </w:r>
      </w:hyperlink>
      <w:r>
        <w:t xml:space="preserve">; </w:t>
      </w:r>
      <w:hyperlink w:anchor="ref-1Dlme4sp5">
        <w:r>
          <w:rPr>
            <w:rStyle w:val="Hyperlink"/>
          </w:rPr>
          <w:t>Schluter &amp; McPhail, 1992</w:t>
        </w:r>
      </w:hyperlink>
      <w:r>
        <w:t>). While the shape and arrangement of paired ceratobranchial and pharyngobranchial bones within this complex aid food processing and water vortex generation during feeding (</w:t>
      </w:r>
      <w:hyperlink w:anchor="ref-15G56iHS9">
        <w:r>
          <w:rPr>
            <w:rStyle w:val="Hyperlink"/>
          </w:rPr>
          <w:t>Brooks et al., 2018</w:t>
        </w:r>
      </w:hyperlink>
      <w:r>
        <w:t xml:space="preserve">), the shape of these bones has received comparatively little attention relative to other aspects of dietary anatomy. This is likely due to the flattening and destructive sampling used in traditional gill raker counting methods, which dissect and deform these structures to </w:t>
      </w:r>
      <w:proofErr w:type="gramStart"/>
      <w:r>
        <w:t>render them</w:t>
      </w:r>
      <w:proofErr w:type="gramEnd"/>
      <w:r>
        <w:t xml:space="preserve"> visible for manual measurements (</w:t>
      </w:r>
      <w:hyperlink w:anchor="ref-RdhjaIDe">
        <w:r>
          <w:rPr>
            <w:rStyle w:val="Hyperlink"/>
          </w:rPr>
          <w:t>Ellis &amp; Miller, 2016</w:t>
        </w:r>
      </w:hyperlink>
      <w:r>
        <w:t>). These structures are, however, difficult to study without full cranial dissection and corresponding distortion of the branchial anatomy. Micro-CT-based three-dimensional (3D) imaging preserves these features at a high resolution and allows for non-destructive analysis. Imaging large numbers of stickleback specimens, however, has until now been prohibitive due to the limitations of acquisition and processing time.</w:t>
      </w:r>
    </w:p>
    <w:p w14:paraId="5F9A2BC4" w14:textId="77777777" w:rsidR="006B1FD8" w:rsidRDefault="00923264">
      <w:pPr>
        <w:pStyle w:val="Heading2"/>
      </w:pPr>
      <w:bookmarkStart w:id="2" w:name="micro-computed-tomography"/>
      <w:bookmarkEnd w:id="1"/>
      <w:r>
        <w:t xml:space="preserve">Micro-computed </w:t>
      </w:r>
      <w:proofErr w:type="gramStart"/>
      <w:r>
        <w:t>tomography</w:t>
      </w:r>
      <w:proofErr w:type="gramEnd"/>
    </w:p>
    <w:p w14:paraId="388DDB7D" w14:textId="77777777" w:rsidR="006B1FD8" w:rsidRDefault="00923264">
      <w:pPr>
        <w:pStyle w:val="FirstParagraph"/>
      </w:pPr>
      <w:r>
        <w:t>X-ray micro-computed tomography (micro-CT) imaging is an indispensable tool to gain non-destructive insights into the inner structure of highly diverse samples, specifically for specimens in biomedical research (</w:t>
      </w:r>
      <w:hyperlink w:anchor="ref-IKVBgaCE">
        <w:r>
          <w:rPr>
            <w:rStyle w:val="Hyperlink"/>
          </w:rPr>
          <w:t>Rawson et al., 2020</w:t>
        </w:r>
      </w:hyperlink>
      <w:r>
        <w:t>). Microtomographic imaging is ideally suited for non-destructive anatomical assessments in fish (</w:t>
      </w:r>
      <w:hyperlink w:anchor="ref-19h9vxsYG">
        <w:r>
          <w:rPr>
            <w:rStyle w:val="Hyperlink"/>
          </w:rPr>
          <w:t>Ford et al., 2023</w:t>
        </w:r>
      </w:hyperlink>
      <w:r>
        <w:t>), capturing internal structures and delicate skeletal elements that are otherwise difficult to quantify without destructive preparation.</w:t>
      </w:r>
    </w:p>
    <w:p w14:paraId="352A29B8" w14:textId="77777777" w:rsidR="006B1FD8" w:rsidRDefault="00923264">
      <w:pPr>
        <w:pStyle w:val="BodyText"/>
      </w:pPr>
      <w:r>
        <w:t>While these small structures can be manually rendered by a skilled investigator using segmentation tools such as 3D Slicer (</w:t>
      </w:r>
      <w:hyperlink w:anchor="ref-EsDua5wx">
        <w:r>
          <w:rPr>
            <w:rStyle w:val="Hyperlink"/>
          </w:rPr>
          <w:t>Kikinis et al., 2013</w:t>
        </w:r>
      </w:hyperlink>
      <w:r>
        <w:t xml:space="preserve">; </w:t>
      </w:r>
      <w:hyperlink w:anchor="ref-MwdN6kPV">
        <w:r>
          <w:rPr>
            <w:rStyle w:val="Hyperlink"/>
          </w:rPr>
          <w:t>Rolfe et al., 2021</w:t>
        </w:r>
      </w:hyperlink>
      <w:r>
        <w:t>), the time and resources required per specimen make this approach infeasible for population-level and evolutionary studies. In addition, accessing these structures typically requires destruction of the mandibular and cranial anatomy, preventing subsequent analyses of these features.</w:t>
      </w:r>
    </w:p>
    <w:p w14:paraId="688B0DB5" w14:textId="31724647" w:rsidR="00FF13D0" w:rsidRPr="00FF13D0" w:rsidRDefault="00923264" w:rsidP="00FF13D0">
      <w:pPr>
        <w:pStyle w:val="BodyText"/>
      </w:pPr>
      <w:r>
        <w:lastRenderedPageBreak/>
        <w:t>This project aims to address these gaps, demonstrating a novel pipeline for automatic splitting and rendering of multi-specimen scans for mass sampling, creating a dataset with consistent parameters that can be used as input for downstream machine learning approaches (</w:t>
      </w:r>
      <w:hyperlink w:anchor="ref-jHalJ9Zw">
        <w:r>
          <w:rPr>
            <w:rStyle w:val="Hyperlink"/>
          </w:rPr>
          <w:t>Lösel et al., 2020</w:t>
        </w:r>
      </w:hyperlink>
      <w:r>
        <w:t>) to aid in the segmentation of individual bony structures in each scan. Once a Biomedisa model is trained, the entire pipeline runs from multi-specimen input to reconstructed anatomical structures for each specimen in a fraction of the time and resources required for traditional analysis.</w:t>
      </w:r>
      <w:bookmarkStart w:id="3" w:name="materials-methods"/>
      <w:bookmarkEnd w:id="2"/>
      <w:r w:rsidR="00FF13D0">
        <w:br w:type="page"/>
      </w:r>
    </w:p>
    <w:p w14:paraId="6E827524" w14:textId="115E4508" w:rsidR="006B1FD8" w:rsidRDefault="00923264">
      <w:pPr>
        <w:pStyle w:val="Heading2"/>
      </w:pPr>
      <w:r>
        <w:lastRenderedPageBreak/>
        <w:t>Materials &amp; Methods</w:t>
      </w:r>
    </w:p>
    <w:p w14:paraId="1DD4CFA8" w14:textId="77777777" w:rsidR="006B1FD8" w:rsidRDefault="00923264">
      <w:pPr>
        <w:pStyle w:val="CaptionedFigure"/>
      </w:pPr>
      <w:bookmarkStart w:id="4" w:name="fig:workflow"/>
      <w:r>
        <w:rPr>
          <w:noProof/>
        </w:rPr>
        <w:drawing>
          <wp:inline distT="0" distB="0" distL="0" distR="0" wp14:anchorId="139F5E7F" wp14:editId="63F8EF53">
            <wp:extent cx="5943600" cy="670918"/>
            <wp:effectExtent l="0" t="0" r="0" b="0"/>
            <wp:docPr id="77" name="Picture" descr="Figure 1: Workflow overview"/>
            <wp:cNvGraphicFramePr/>
            <a:graphic xmlns:a="http://schemas.openxmlformats.org/drawingml/2006/main">
              <a:graphicData uri="http://schemas.openxmlformats.org/drawingml/2006/picture">
                <pic:pic xmlns:pic="http://schemas.openxmlformats.org/drawingml/2006/picture">
                  <pic:nvPicPr>
                    <pic:cNvPr id="78" name="Picture" descr="images/workflow.png"/>
                    <pic:cNvPicPr>
                      <a:picLocks noChangeAspect="1" noChangeArrowheads="1"/>
                    </pic:cNvPicPr>
                  </pic:nvPicPr>
                  <pic:blipFill>
                    <a:blip r:embed="rId7"/>
                    <a:stretch>
                      <a:fillRect/>
                    </a:stretch>
                  </pic:blipFill>
                  <pic:spPr bwMode="auto">
                    <a:xfrm>
                      <a:off x="0" y="0"/>
                      <a:ext cx="5943600" cy="670918"/>
                    </a:xfrm>
                    <a:prstGeom prst="rect">
                      <a:avLst/>
                    </a:prstGeom>
                    <a:noFill/>
                    <a:ln w="9525">
                      <a:noFill/>
                      <a:headEnd/>
                      <a:tailEnd/>
                    </a:ln>
                  </pic:spPr>
                </pic:pic>
              </a:graphicData>
            </a:graphic>
          </wp:inline>
        </w:drawing>
      </w:r>
    </w:p>
    <w:p w14:paraId="082F10F7" w14:textId="77777777" w:rsidR="006B1FD8" w:rsidRDefault="00923264">
      <w:pPr>
        <w:pStyle w:val="ImageCaption"/>
      </w:pPr>
      <w:r>
        <w:t>Figure 1: Workflow overview</w:t>
      </w:r>
    </w:p>
    <w:p w14:paraId="10AA784C" w14:textId="77777777" w:rsidR="006B1FD8" w:rsidRDefault="00923264">
      <w:pPr>
        <w:pStyle w:val="Heading3"/>
      </w:pPr>
      <w:bookmarkStart w:id="5" w:name="sample-procurement-and-preparation"/>
      <w:bookmarkEnd w:id="4"/>
      <w:r>
        <w:t>Sample procurement and preparation</w:t>
      </w:r>
    </w:p>
    <w:p w14:paraId="76D5C7A9" w14:textId="6BC396A9" w:rsidR="006B1FD8" w:rsidRDefault="00923264">
      <w:pPr>
        <w:pStyle w:val="FirstParagraph"/>
      </w:pPr>
      <w:r>
        <w:t xml:space="preserve">The specimens used for this study were collected from </w:t>
      </w:r>
      <w:r w:rsidR="004F680B">
        <w:t xml:space="preserve">[ANONYMIZED] </w:t>
      </w:r>
      <w:r>
        <w:t xml:space="preserve">of the </w:t>
      </w:r>
      <w:r w:rsidR="004F680B">
        <w:t>[ANONYMIZED]</w:t>
      </w:r>
      <w:r>
        <w:t xml:space="preserve"> source lakes used for the </w:t>
      </w:r>
      <w:r w:rsidR="004F680B">
        <w:t xml:space="preserve">[ANONYMIZED] </w:t>
      </w:r>
      <w:r>
        <w:t xml:space="preserve">project in the region of </w:t>
      </w:r>
      <w:r w:rsidR="004F680B">
        <w:t>[ANONYMIZED]</w:t>
      </w:r>
      <w:r>
        <w:t xml:space="preserve">. Fish were collected using unbaited minnow traps in two separate field seasons, the first taking place from </w:t>
      </w:r>
      <w:r w:rsidR="004F680B">
        <w:t>[ANONYMIZED]</w:t>
      </w:r>
      <w:r>
        <w:t xml:space="preserve"> and the second taking place from </w:t>
      </w:r>
      <w:r w:rsidR="004F680B">
        <w:t>[ANONYMIZED]</w:t>
      </w:r>
      <w:r>
        <w:t xml:space="preserve">. Specimens were collected from a random sample of up to </w:t>
      </w:r>
      <w:r w:rsidR="004F680B">
        <w:t xml:space="preserve">[ANONYMIZED] </w:t>
      </w:r>
      <w:r>
        <w:t xml:space="preserve">fish from each lake, under </w:t>
      </w:r>
      <w:r w:rsidR="004F680B">
        <w:t xml:space="preserve">[ANONYMIZED] </w:t>
      </w:r>
      <w:r>
        <w:t xml:space="preserve">permits </w:t>
      </w:r>
      <w:r w:rsidR="004F680B">
        <w:t xml:space="preserve">[ANONYMIZED] </w:t>
      </w:r>
      <w:r>
        <w:t xml:space="preserve">and </w:t>
      </w:r>
      <w:r w:rsidR="004F680B">
        <w:t>[ANONYMIZED]</w:t>
      </w:r>
      <w:r>
        <w:t xml:space="preserve"> for </w:t>
      </w:r>
      <w:r w:rsidR="004F680B">
        <w:t xml:space="preserve">[ANONYMIZED] </w:t>
      </w:r>
      <w:r>
        <w:t xml:space="preserve">and </w:t>
      </w:r>
      <w:r w:rsidR="004F680B">
        <w:t>[ANONYMIZED]</w:t>
      </w:r>
      <w:r>
        <w:t xml:space="preserve">, respectively. Fish were euthanized with MS-222, photographed, labeled and preserved in 10% formalin in individual bags, all under </w:t>
      </w:r>
      <w:r w:rsidR="004F680B">
        <w:t>[ANONYMIZED PROTOCOL]</w:t>
      </w:r>
      <w:r>
        <w:t xml:space="preserve">. At the end of each field season, samples were shipped from </w:t>
      </w:r>
      <w:r w:rsidR="004F680B">
        <w:t xml:space="preserve">[ANONYMIZED] </w:t>
      </w:r>
      <w:r>
        <w:t xml:space="preserve">to </w:t>
      </w:r>
      <w:r w:rsidR="004F680B">
        <w:t>[ANONYMIZED]</w:t>
      </w:r>
      <w:r>
        <w:t xml:space="preserve"> where they were stored until scanning. The total number of fish for each lake were: 52 from </w:t>
      </w:r>
      <w:r w:rsidR="004F680B">
        <w:t>[ANONYMIZED]</w:t>
      </w:r>
      <w:r>
        <w:t xml:space="preserve">Lake (benthic), 48 from </w:t>
      </w:r>
      <w:r w:rsidR="004F680B">
        <w:t xml:space="preserve">[ANONYMIZED] </w:t>
      </w:r>
      <w:r>
        <w:t xml:space="preserve">Lake (benthic), 46 from </w:t>
      </w:r>
      <w:r w:rsidR="004F680B">
        <w:t xml:space="preserve">[ANONYMIZED] </w:t>
      </w:r>
      <w:r>
        <w:t xml:space="preserve">Lake (limnetic), 35 from </w:t>
      </w:r>
      <w:r w:rsidR="004F680B">
        <w:t>[ANONYMIZED]</w:t>
      </w:r>
      <w:r>
        <w:t xml:space="preserve"> Lake (limnetic), 20 from </w:t>
      </w:r>
      <w:r w:rsidR="004F680B">
        <w:t>[ANONYMIZED]</w:t>
      </w:r>
      <w:r>
        <w:t xml:space="preserve"> Lake (benthic), and 14 from </w:t>
      </w:r>
      <w:r w:rsidR="004F680B">
        <w:t>[ANONYMIZED]</w:t>
      </w:r>
      <w:r>
        <w:t xml:space="preserve"> Lake (benthic) for a total of 215 specimens. Additionally, caudal fin clips were collected from fish sampled during the </w:t>
      </w:r>
      <w:r w:rsidR="004F680B">
        <w:t xml:space="preserve">[ANONYMIZED] </w:t>
      </w:r>
      <w:r>
        <w:t>field season for molecular sex identification via genotyping. DNA was extracted from the fin tissue following Meeker et al. (</w:t>
      </w:r>
      <w:hyperlink w:anchor="ref-uw1mZ6Yi">
        <w:r>
          <w:rPr>
            <w:rStyle w:val="Hyperlink"/>
          </w:rPr>
          <w:t>Meeker et al., 2007</w:t>
        </w:r>
      </w:hyperlink>
      <w:r>
        <w:t xml:space="preserve">) and subsequent PCR genotyping was performed with </w:t>
      </w:r>
      <w:r w:rsidR="00304806">
        <w:t xml:space="preserve">[ANONYMIEZD] </w:t>
      </w:r>
      <w:r>
        <w:t xml:space="preserve">following </w:t>
      </w:r>
      <w:r w:rsidR="00304806">
        <w:t>[ANONYMIZED]</w:t>
      </w:r>
      <w:r>
        <w:t xml:space="preserve"> et al. </w:t>
      </w:r>
      <w:r w:rsidR="00304806">
        <w:t>([ANONYMIZED])</w:t>
      </w:r>
      <w:r>
        <w:t>.</w:t>
      </w:r>
    </w:p>
    <w:p w14:paraId="02598640" w14:textId="77777777" w:rsidR="006B1FD8" w:rsidRDefault="00923264">
      <w:pPr>
        <w:pStyle w:val="BodyText"/>
      </w:pPr>
      <w:r>
        <w:lastRenderedPageBreak/>
        <w:t>Due to their inherent contrast difference to the surrounding tissue, the structures of interest in this study (teeth and bones, i.e., jaws and skull) are well visualized in unstained samples, hence no further preparation of the fish was necessary.</w:t>
      </w:r>
    </w:p>
    <w:p w14:paraId="3F7FEF6F" w14:textId="77777777" w:rsidR="006B1FD8" w:rsidRDefault="00923264">
      <w:pPr>
        <w:pStyle w:val="Heading3"/>
      </w:pPr>
      <w:bookmarkStart w:id="6" w:name="micro-ct-imaging"/>
      <w:bookmarkEnd w:id="5"/>
      <w:r>
        <w:t>micro-CT imaging</w:t>
      </w:r>
    </w:p>
    <w:p w14:paraId="2A115948" w14:textId="7BEC9FBE" w:rsidR="006B1FD8" w:rsidRDefault="00923264">
      <w:pPr>
        <w:pStyle w:val="FirstParagraph"/>
      </w:pPr>
      <w:r>
        <w:t xml:space="preserve">In a pilot study, we identified optimal scanning parameters to meet the constraints on total scanning time, resolution, and sample handling. To </w:t>
      </w:r>
      <w:proofErr w:type="gramStart"/>
      <w:r>
        <w:t>optimize for</w:t>
      </w:r>
      <w:proofErr w:type="gramEnd"/>
      <w:r>
        <w:t xml:space="preserve"> these constraints, we scanned all the sticklebacks in batches of six fish in a custom-made 3D-printed sample holder in a single scan. This holder was designed in </w:t>
      </w:r>
      <w:hyperlink r:id="rId8">
        <w:r>
          <w:rPr>
            <w:rStyle w:val="Hyperlink"/>
          </w:rPr>
          <w:t>OpenSCAD</w:t>
        </w:r>
      </w:hyperlink>
      <w:r>
        <w:t xml:space="preserve"> (OpenSCAD Developers. Version 2021.01) and is available online, either directly as </w:t>
      </w:r>
      <w:r w:rsidRPr="001C76E4">
        <w:t xml:space="preserve">STL file </w:t>
      </w:r>
      <w:r w:rsidR="001C76E4">
        <w:t xml:space="preserve">[REMOVED LINK FOR ANONYMIZATION] </w:t>
      </w:r>
      <w:r w:rsidRPr="001C76E4">
        <w:t>for printing</w:t>
      </w:r>
      <w:r>
        <w:t xml:space="preserve"> or as </w:t>
      </w:r>
      <w:r w:rsidRPr="001C76E4">
        <w:t>(parameterized) OpenSCAD file</w:t>
      </w:r>
      <w:r>
        <w:t xml:space="preserve"> </w:t>
      </w:r>
      <w:r w:rsidR="001C76E4">
        <w:t xml:space="preserve">[REMOVED LINK FOR ANONYMIZATION] </w:t>
      </w:r>
      <w:r>
        <w:t>for adaptation to other classes of samples. Both files are part of a library of 3D-printable sample holders for tomographic imaging (</w:t>
      </w:r>
      <w:r w:rsidR="001C76E4">
        <w:t>ANONYMIZED)</w:t>
      </w:r>
      <w:r>
        <w:t>.</w:t>
      </w:r>
    </w:p>
    <w:p w14:paraId="769AF578" w14:textId="7C7B620D" w:rsidR="006B1FD8" w:rsidRDefault="00923264">
      <w:pPr>
        <w:pStyle w:val="BodyText"/>
      </w:pPr>
      <w:r>
        <w:t xml:space="preserve">Tomographic imaging was performed on a </w:t>
      </w:r>
      <w:hyperlink r:id="rId9">
        <w:r>
          <w:rPr>
            <w:rStyle w:val="Hyperlink"/>
          </w:rPr>
          <w:t>Bruker SkyScan 2214</w:t>
        </w:r>
      </w:hyperlink>
      <w:r>
        <w:t xml:space="preserve"> (Bruker microCT, Kontich, Belgium)</w:t>
      </w:r>
      <w:r w:rsidR="009E7A95">
        <w:t xml:space="preserve"> at</w:t>
      </w:r>
      <w:r>
        <w:t xml:space="preserve"> </w:t>
      </w:r>
      <w:r w:rsidR="004F680B">
        <w:t>[ANONYMIZED]</w:t>
      </w:r>
      <w:r>
        <w:t>. In total, we performed 38 scans, each scan usually containing up to six fish in the sample holder.</w:t>
      </w:r>
    </w:p>
    <w:p w14:paraId="31C80663" w14:textId="3587ED88" w:rsidR="006B1FD8" w:rsidRDefault="00923264">
      <w:pPr>
        <w:pStyle w:val="BodyText"/>
      </w:pPr>
      <w:r>
        <w:t xml:space="preserve">The relevant details of each scan are summarized in a table in the </w:t>
      </w:r>
      <w:r w:rsidRPr="004F680B">
        <w:t>Supplementary Materials</w:t>
      </w:r>
      <w:r w:rsidR="004F680B">
        <w:t xml:space="preserve"> [LINK REMOVED FOR ANONYMIZATION]</w:t>
      </w:r>
      <w:r>
        <w:t xml:space="preserve">; a short overview of the scanning parameters is given below. The X-ray source was set to a voltage of 60 kV and a current of around 110 µA for all but one scan where we used a source voltage of 49 kV and 159 µA due to operator error. For each sample, we recorded a set of 3601 projections (each with a size of </w:t>
      </w:r>
      <w:proofErr w:type="gramStart"/>
      <w:r>
        <w:t>3000 by</w:t>
      </w:r>
      <w:proofErr w:type="gramEnd"/>
      <w:r>
        <w:t xml:space="preserve"> 2000 pixels) at 0.1° intervals over a 360° sample rotation. Every single projection was exposed for about a second. Because of the length of the fish, we had to acquire so-called stacked scans, on average we scanned 3 fields of view along the rotation axis of the sample holder. This resulted in an average scan time of 10 hours for each scan. The projection images were then </w:t>
      </w:r>
      <w:r>
        <w:lastRenderedPageBreak/>
        <w:t xml:space="preserve">subsequently reconstructed into stacks of 8-bit </w:t>
      </w:r>
      <w:r>
        <w:rPr>
          <w:rStyle w:val="VerbatimChar"/>
        </w:rPr>
        <w:t>png</w:t>
      </w:r>
      <w:r>
        <w:t xml:space="preserve"> images with NRecon (Bruker microCT, Kontich, Belgium. Version: 2.2.0.6), without applying any ring artifact or beam hardening correction. The isometric voxel sizes in the resulting datasets vary from 15 to 17.5 µm.</w:t>
      </w:r>
    </w:p>
    <w:p w14:paraId="61A9DF4D" w14:textId="77777777" w:rsidR="006B1FD8" w:rsidRDefault="00923264">
      <w:pPr>
        <w:pStyle w:val="BodyText"/>
      </w:pPr>
      <w:r>
        <w:t xml:space="preserve">The result of one such multi-specimen scan is visualized in Figure </w:t>
      </w:r>
      <w:hyperlink w:anchor="fig:visualization">
        <w:r>
          <w:rPr>
            <w:rStyle w:val="Hyperlink"/>
          </w:rPr>
          <w:t>2</w:t>
        </w:r>
      </w:hyperlink>
      <w:r>
        <w:t xml:space="preserve">, where it is shown how this scan contains six fish. The labels on the holder are colored </w:t>
      </w:r>
      <w:proofErr w:type="gramStart"/>
      <w:r>
        <w:t>red, and</w:t>
      </w:r>
      <w:proofErr w:type="gramEnd"/>
      <w:r>
        <w:t xml:space="preserve"> shown extracted (in yellow) later in </w:t>
      </w:r>
      <w:hyperlink w:anchor="fig:labels">
        <w:r>
          <w:rPr>
            <w:rStyle w:val="Hyperlink"/>
          </w:rPr>
          <w:t>4</w:t>
        </w:r>
      </w:hyperlink>
      <w:r>
        <w:t>.</w:t>
      </w:r>
    </w:p>
    <w:p w14:paraId="4CE876EC" w14:textId="77777777" w:rsidR="006B1FD8" w:rsidRDefault="00923264">
      <w:pPr>
        <w:pStyle w:val="CaptionedFigure"/>
      </w:pPr>
      <w:bookmarkStart w:id="7" w:name="fig:visualization"/>
      <w:r>
        <w:rPr>
          <w:noProof/>
        </w:rPr>
        <w:lastRenderedPageBreak/>
        <w:drawing>
          <wp:inline distT="0" distB="0" distL="0" distR="0" wp14:anchorId="60021E0A" wp14:editId="4C474C22">
            <wp:extent cx="5943600" cy="5482997"/>
            <wp:effectExtent l="0" t="0" r="0" b="0"/>
            <wp:docPr id="86" name="Picture" descr="Figure 2: Three-dimensional visualization of one multi-specimen scan. The 3D-printed labels are colored in red, the holder itself is shown semitransparently, containing six specimen for this scan."/>
            <wp:cNvGraphicFramePr/>
            <a:graphic xmlns:a="http://schemas.openxmlformats.org/drawingml/2006/main">
              <a:graphicData uri="http://schemas.openxmlformats.org/drawingml/2006/picture">
                <pic:pic xmlns:pic="http://schemas.openxmlformats.org/drawingml/2006/picture">
                  <pic:nvPicPr>
                    <pic:cNvPr id="87" name="Picture" descr="images/Sticklebucket_H.rec.3D.png"/>
                    <pic:cNvPicPr>
                      <a:picLocks noChangeAspect="1" noChangeArrowheads="1"/>
                    </pic:cNvPicPr>
                  </pic:nvPicPr>
                  <pic:blipFill>
                    <a:blip r:embed="rId10"/>
                    <a:stretch>
                      <a:fillRect/>
                    </a:stretch>
                  </pic:blipFill>
                  <pic:spPr bwMode="auto">
                    <a:xfrm>
                      <a:off x="0" y="0"/>
                      <a:ext cx="5943600" cy="5482997"/>
                    </a:xfrm>
                    <a:prstGeom prst="rect">
                      <a:avLst/>
                    </a:prstGeom>
                    <a:noFill/>
                    <a:ln w="9525">
                      <a:noFill/>
                      <a:headEnd/>
                      <a:tailEnd/>
                    </a:ln>
                  </pic:spPr>
                </pic:pic>
              </a:graphicData>
            </a:graphic>
          </wp:inline>
        </w:drawing>
      </w:r>
    </w:p>
    <w:p w14:paraId="0D270F6F" w14:textId="77777777" w:rsidR="006B1FD8" w:rsidRDefault="00923264">
      <w:pPr>
        <w:pStyle w:val="ImageCaption"/>
      </w:pPr>
      <w:r>
        <w:t xml:space="preserve">Figure 2: Three-dimensional visualization of one multi-specimen scan. The 3D-printed labels are colored in red, the holder itself is shown semitransparently, containing six </w:t>
      </w:r>
      <w:proofErr w:type="gramStart"/>
      <w:r>
        <w:t>specimen</w:t>
      </w:r>
      <w:proofErr w:type="gramEnd"/>
      <w:r>
        <w:t xml:space="preserve"> for this scan.</w:t>
      </w:r>
    </w:p>
    <w:p w14:paraId="2E87C4AE" w14:textId="77777777" w:rsidR="006B1FD8" w:rsidRDefault="00923264">
      <w:pPr>
        <w:pStyle w:val="Heading3"/>
      </w:pPr>
      <w:bookmarkStart w:id="8" w:name="data-analysis"/>
      <w:bookmarkEnd w:id="6"/>
      <w:bookmarkEnd w:id="7"/>
      <w:r>
        <w:lastRenderedPageBreak/>
        <w:t>Data analysis</w:t>
      </w:r>
    </w:p>
    <w:p w14:paraId="29911942" w14:textId="77777777" w:rsidR="006B1FD8" w:rsidRDefault="00923264">
      <w:pPr>
        <w:pStyle w:val="Heading4"/>
      </w:pPr>
      <w:bookmarkStart w:id="9" w:name="Xa33f70c293f0b774d11cf72b5947ee30bc246f1"/>
      <w:r>
        <w:t>Preparation and handling of tomographic datasets</w:t>
      </w:r>
    </w:p>
    <w:p w14:paraId="3E82CED8" w14:textId="5808B59C" w:rsidR="006B1FD8" w:rsidRDefault="00923264">
      <w:pPr>
        <w:pStyle w:val="FirstParagraph"/>
      </w:pPr>
      <w:r>
        <w:t xml:space="preserve">After acquisition, </w:t>
      </w:r>
      <w:hyperlink r:id="rId11">
        <w:r>
          <w:rPr>
            <w:rStyle w:val="Hyperlink"/>
          </w:rPr>
          <w:t>a simple script</w:t>
        </w:r>
      </w:hyperlink>
      <w:r w:rsidR="004F680B">
        <w:t xml:space="preserve"> [ANONYMIZED LINK]</w:t>
      </w:r>
      <w:r>
        <w:t xml:space="preserve"> was used to copy the relevant data to both archival storage and storage accessible by all co-authors. Further processing of the tomographic dataset was performed with a set of Jupyter (</w:t>
      </w:r>
      <w:hyperlink w:anchor="ref-1Bh7g5XAe">
        <w:r>
          <w:rPr>
            <w:rStyle w:val="Hyperlink"/>
          </w:rPr>
          <w:t>Kluyver Thomas et al., 2016</w:t>
        </w:r>
      </w:hyperlink>
      <w:r>
        <w:t>) notebooks (</w:t>
      </w:r>
      <w:r w:rsidR="001C76E4">
        <w:t>[</w:t>
      </w:r>
      <w:hyperlink r:id="rId12" w:history="1">
        <w:r w:rsidR="001C76E4" w:rsidRPr="00E4006A">
          <w:rPr>
            <w:rStyle w:val="Hyperlink"/>
          </w:rPr>
          <w:t>ANONYMIZED</w:t>
        </w:r>
        <w:r w:rsidR="004F680B" w:rsidRPr="00E4006A">
          <w:rPr>
            <w:rStyle w:val="Hyperlink"/>
          </w:rPr>
          <w:t xml:space="preserve"> </w:t>
        </w:r>
        <w:r w:rsidR="00E4006A" w:rsidRPr="00E4006A">
          <w:rPr>
            <w:rStyle w:val="Hyperlink"/>
          </w:rPr>
          <w:t>REPOSITORY</w:t>
        </w:r>
      </w:hyperlink>
      <w:r w:rsidR="001C76E4">
        <w:t>]).</w:t>
      </w:r>
    </w:p>
    <w:p w14:paraId="3B461474" w14:textId="77777777" w:rsidR="006B1FD8" w:rsidRDefault="00923264">
      <w:pPr>
        <w:pStyle w:val="Heading5"/>
      </w:pPr>
      <w:bookmarkStart w:id="10" w:name="preview-notebook"/>
      <w:r>
        <w:t>Preview notebook</w:t>
      </w:r>
    </w:p>
    <w:p w14:paraId="0A8B73C5" w14:textId="7A33C175" w:rsidR="006B1FD8" w:rsidRDefault="00923264">
      <w:pPr>
        <w:pStyle w:val="FirstParagraph"/>
      </w:pPr>
      <w:r>
        <w:t xml:space="preserve">The </w:t>
      </w:r>
      <w:hyperlink r:id="rId13">
        <w:r>
          <w:rPr>
            <w:rStyle w:val="Hyperlink"/>
          </w:rPr>
          <w:t>preview notebook</w:t>
        </w:r>
      </w:hyperlink>
      <w:r w:rsidR="001C76E4">
        <w:t xml:space="preserve"> [ANONYMIZED LINK]</w:t>
      </w:r>
      <w:r>
        <w:t xml:space="preserve"> is used to identify issues with the scanning. For this, we read all relevant scanning and reconstruction parameters from the log files of each scan. Afterwards, we efficiently loaded the reconstruction </w:t>
      </w:r>
      <w:r>
        <w:rPr>
          <w:rStyle w:val="VerbatimChar"/>
        </w:rPr>
        <w:t>png</w:t>
      </w:r>
      <w:r>
        <w:t xml:space="preserve"> images from disk with the </w:t>
      </w:r>
      <w:hyperlink r:id="rId14">
        <w:r>
          <w:rPr>
            <w:rStyle w:val="VerbatimChar"/>
          </w:rPr>
          <w:t>dask_</w:t>
        </w:r>
        <w:proofErr w:type="gramStart"/>
        <w:r>
          <w:rPr>
            <w:rStyle w:val="VerbatimChar"/>
          </w:rPr>
          <w:t>image.imread</w:t>
        </w:r>
        <w:proofErr w:type="gramEnd"/>
        <w:r>
          <w:rPr>
            <w:rStyle w:val="VerbatimChar"/>
          </w:rPr>
          <w:t>.imread</w:t>
        </w:r>
      </w:hyperlink>
      <w:r>
        <w:t xml:space="preserve"> function (</w:t>
      </w:r>
      <w:hyperlink w:anchor="ref-hj1CnyWB">
        <w:r>
          <w:rPr>
            <w:rStyle w:val="Hyperlink"/>
          </w:rPr>
          <w:t>Dask Development Team, 2016</w:t>
        </w:r>
      </w:hyperlink>
      <w:r>
        <w:t xml:space="preserve">). This approach allowed us to map </w:t>
      </w:r>
      <w:r>
        <w:rPr>
          <w:i/>
          <w:iCs/>
        </w:rPr>
        <w:t>all</w:t>
      </w:r>
      <w:r>
        <w:t xml:space="preserve"> the reconstructions to memory and quickly generate maximum intensity projections (MIP) of each scan (see Figure </w:t>
      </w:r>
      <w:hyperlink w:anchor="fig:mips">
        <w:r>
          <w:rPr>
            <w:rStyle w:val="Hyperlink"/>
          </w:rPr>
          <w:t>3</w:t>
        </w:r>
      </w:hyperlink>
      <w:r>
        <w:t xml:space="preserve"> for an example) for both quality control and further processing.</w:t>
      </w:r>
    </w:p>
    <w:p w14:paraId="22E506F0" w14:textId="77777777" w:rsidR="006B1FD8" w:rsidRDefault="00923264">
      <w:pPr>
        <w:pStyle w:val="CaptionedFigure"/>
      </w:pPr>
      <w:bookmarkStart w:id="11" w:name="fig:mips"/>
      <w:r>
        <w:rPr>
          <w:noProof/>
        </w:rPr>
        <w:lastRenderedPageBreak/>
        <w:drawing>
          <wp:inline distT="0" distB="0" distL="0" distR="0" wp14:anchorId="6640A0C5" wp14:editId="58649F66">
            <wp:extent cx="5943600" cy="2891545"/>
            <wp:effectExtent l="0" t="0" r="0" b="0"/>
            <wp:docPr id="94" name="Picture" descr="Figure 3: Maximum intensity projections of one acquired dataset along all three cardinal axes."/>
            <wp:cNvGraphicFramePr/>
            <a:graphic xmlns:a="http://schemas.openxmlformats.org/drawingml/2006/main">
              <a:graphicData uri="http://schemas.openxmlformats.org/drawingml/2006/picture">
                <pic:pic xmlns:pic="http://schemas.openxmlformats.org/drawingml/2006/picture">
                  <pic:nvPicPr>
                    <pic:cNvPr id="95" name="Picture" descr="images/Sticklebucket_H.rec.MIPs.png"/>
                    <pic:cNvPicPr>
                      <a:picLocks noChangeAspect="1" noChangeArrowheads="1"/>
                    </pic:cNvPicPr>
                  </pic:nvPicPr>
                  <pic:blipFill>
                    <a:blip r:embed="rId15"/>
                    <a:stretch>
                      <a:fillRect/>
                    </a:stretch>
                  </pic:blipFill>
                  <pic:spPr bwMode="auto">
                    <a:xfrm>
                      <a:off x="0" y="0"/>
                      <a:ext cx="5943600" cy="2891545"/>
                    </a:xfrm>
                    <a:prstGeom prst="rect">
                      <a:avLst/>
                    </a:prstGeom>
                    <a:noFill/>
                    <a:ln w="9525">
                      <a:noFill/>
                      <a:headEnd/>
                      <a:tailEnd/>
                    </a:ln>
                  </pic:spPr>
                </pic:pic>
              </a:graphicData>
            </a:graphic>
          </wp:inline>
        </w:drawing>
      </w:r>
    </w:p>
    <w:p w14:paraId="4747EBC5" w14:textId="77777777" w:rsidR="006B1FD8" w:rsidRDefault="00923264">
      <w:pPr>
        <w:pStyle w:val="ImageCaption"/>
      </w:pPr>
      <w:r>
        <w:t>Figure 3: Maximum intensity projections of one acquired dataset along all three cardinal axes.</w:t>
      </w:r>
    </w:p>
    <w:p w14:paraId="2D2CC274" w14:textId="77777777" w:rsidR="006B1FD8" w:rsidRDefault="00923264">
      <w:pPr>
        <w:pStyle w:val="Heading5"/>
      </w:pPr>
      <w:bookmarkStart w:id="12" w:name="separation-notebook"/>
      <w:bookmarkEnd w:id="10"/>
      <w:bookmarkEnd w:id="11"/>
      <w:r>
        <w:t>Separation notebook</w:t>
      </w:r>
    </w:p>
    <w:p w14:paraId="292CA679" w14:textId="782F91F8" w:rsidR="006B1FD8" w:rsidRDefault="00923264">
      <w:pPr>
        <w:pStyle w:val="FirstParagraph"/>
      </w:pPr>
      <w:r>
        <w:t xml:space="preserve">The </w:t>
      </w:r>
      <w:hyperlink r:id="rId16">
        <w:r>
          <w:rPr>
            <w:rStyle w:val="Hyperlink"/>
          </w:rPr>
          <w:t>separation notebook</w:t>
        </w:r>
      </w:hyperlink>
      <w:r w:rsidR="004F680B">
        <w:t xml:space="preserve"> [ANONYMIZED LINK]</w:t>
      </w:r>
      <w:r>
        <w:t xml:space="preserve"> processes all the acquired scans to extract each individual fish from each scan encompassing six fish in total. As in the preview notebook, we efficiently load all the </w:t>
      </w:r>
      <w:r>
        <w:rPr>
          <w:rStyle w:val="VerbatimChar"/>
        </w:rPr>
        <w:t>png</w:t>
      </w:r>
      <w:r>
        <w:t xml:space="preserve">s from disk with </w:t>
      </w:r>
      <w:hyperlink r:id="rId17">
        <w:r>
          <w:rPr>
            <w:rStyle w:val="VerbatimChar"/>
          </w:rPr>
          <w:t>dask</w:t>
        </w:r>
      </w:hyperlink>
      <w:r>
        <w:t xml:space="preserve"> (</w:t>
      </w:r>
      <w:hyperlink w:anchor="ref-hj1CnyWB">
        <w:r>
          <w:rPr>
            <w:rStyle w:val="Hyperlink"/>
          </w:rPr>
          <w:t>Dask Development Team, 2016</w:t>
        </w:r>
      </w:hyperlink>
      <w:r>
        <w:t>). Based on the previously extracted MIP images and a simple labeling of these images (</w:t>
      </w:r>
      <w:hyperlink r:id="rId18" w:anchor="skimage.measure.label">
        <w:r>
          <w:rPr>
            <w:rStyle w:val="VerbatimChar"/>
          </w:rPr>
          <w:t>skimage.measure.label</w:t>
        </w:r>
      </w:hyperlink>
      <w:r>
        <w:t>), we extract both the labels in the custom-made sample holder and the positions of individual fish in the scan (</w:t>
      </w:r>
      <w:hyperlink r:id="rId19" w:anchor="skimage.measure.regionprops">
        <w:r>
          <w:rPr>
            <w:rStyle w:val="VerbatimChar"/>
          </w:rPr>
          <w:t>skimage.measure.regionprops</w:t>
        </w:r>
      </w:hyperlink>
      <w:r>
        <w:t xml:space="preserve">) (see Figure </w:t>
      </w:r>
      <w:hyperlink w:anchor="fig:labels">
        <w:r>
          <w:rPr>
            <w:rStyle w:val="Hyperlink"/>
          </w:rPr>
          <w:t>4</w:t>
        </w:r>
      </w:hyperlink>
      <w:r>
        <w:t>). This extraction process is fully reproducible and tailored to the custom sample holder.</w:t>
      </w:r>
    </w:p>
    <w:p w14:paraId="30FB2AA1" w14:textId="77777777" w:rsidR="006B1FD8" w:rsidRDefault="00923264">
      <w:pPr>
        <w:pStyle w:val="CaptionedFigure"/>
      </w:pPr>
      <w:bookmarkStart w:id="13" w:name="fig:labels"/>
      <w:r>
        <w:rPr>
          <w:noProof/>
        </w:rPr>
        <w:lastRenderedPageBreak/>
        <w:drawing>
          <wp:inline distT="0" distB="0" distL="0" distR="0" wp14:anchorId="2743F33C" wp14:editId="74D6FCD7">
            <wp:extent cx="5943600" cy="3078745"/>
            <wp:effectExtent l="0" t="0" r="0" b="0"/>
            <wp:docPr id="103" name="Picture" descr="Figure 4: Automatically detected regions based on maximum intensity projection along the rotation axis of the tomographic scan. The regions are numbered consecutively from the top left to the bottom right. These numbers are mapped to the correct fish ID in the next step."/>
            <wp:cNvGraphicFramePr/>
            <a:graphic xmlns:a="http://schemas.openxmlformats.org/drawingml/2006/main">
              <a:graphicData uri="http://schemas.openxmlformats.org/drawingml/2006/picture">
                <pic:pic xmlns:pic="http://schemas.openxmlformats.org/drawingml/2006/picture">
                  <pic:nvPicPr>
                    <pic:cNvPr id="104" name="Picture" descr="images/Sticklebucket_H.rec.Labels.Detected.png"/>
                    <pic:cNvPicPr>
                      <a:picLocks noChangeAspect="1" noChangeArrowheads="1"/>
                    </pic:cNvPicPr>
                  </pic:nvPicPr>
                  <pic:blipFill>
                    <a:blip r:embed="rId20"/>
                    <a:stretch>
                      <a:fillRect/>
                    </a:stretch>
                  </pic:blipFill>
                  <pic:spPr bwMode="auto">
                    <a:xfrm>
                      <a:off x="0" y="0"/>
                      <a:ext cx="5943600" cy="3078745"/>
                    </a:xfrm>
                    <a:prstGeom prst="rect">
                      <a:avLst/>
                    </a:prstGeom>
                    <a:noFill/>
                    <a:ln w="9525">
                      <a:noFill/>
                      <a:headEnd/>
                      <a:tailEnd/>
                    </a:ln>
                  </pic:spPr>
                </pic:pic>
              </a:graphicData>
            </a:graphic>
          </wp:inline>
        </w:drawing>
      </w:r>
    </w:p>
    <w:p w14:paraId="2E9F1E95" w14:textId="77777777" w:rsidR="006B1FD8" w:rsidRDefault="00923264">
      <w:pPr>
        <w:pStyle w:val="ImageCaption"/>
      </w:pPr>
      <w:r>
        <w:t>Figure 4: Automatically detected regions based on maximum intensity projection along the rotation axis of the tomographic scan. The regions are numbered consecutively from the top left to the bottom right. These numbers are mapped to the correct fish ID in the next step.</w:t>
      </w:r>
    </w:p>
    <w:bookmarkEnd w:id="13"/>
    <w:p w14:paraId="29650788" w14:textId="77777777" w:rsidR="006B1FD8" w:rsidRDefault="00923264">
      <w:pPr>
        <w:pStyle w:val="BodyText"/>
      </w:pPr>
      <w:r>
        <w:t xml:space="preserve">Based on a simple mapping of the detected region to the ID numbers of the scanned fish, we labeled the resulting images and presented these images together with photos of the lab book and sample tubes for verification (see Figure </w:t>
      </w:r>
      <w:hyperlink w:anchor="fig:checking">
        <w:r>
          <w:rPr>
            <w:rStyle w:val="Hyperlink"/>
          </w:rPr>
          <w:t>5</w:t>
        </w:r>
      </w:hyperlink>
      <w:r>
        <w:t>).</w:t>
      </w:r>
    </w:p>
    <w:p w14:paraId="23DEB83C" w14:textId="77777777" w:rsidR="006B1FD8" w:rsidRDefault="00923264">
      <w:pPr>
        <w:pStyle w:val="CaptionedFigure"/>
      </w:pPr>
      <w:bookmarkStart w:id="14" w:name="fig:checking"/>
      <w:r>
        <w:rPr>
          <w:noProof/>
        </w:rPr>
        <w:lastRenderedPageBreak/>
        <w:drawing>
          <wp:inline distT="0" distB="0" distL="0" distR="0" wp14:anchorId="76AEBF36" wp14:editId="28EA653E">
            <wp:extent cx="5943600" cy="5072104"/>
            <wp:effectExtent l="0" t="0" r="0" b="0"/>
            <wp:docPr id="107" name="Picture" descr="Figure 5: Mapping lab book notes, photos, and detected regions to fish ID."/>
            <wp:cNvGraphicFramePr/>
            <a:graphic xmlns:a="http://schemas.openxmlformats.org/drawingml/2006/main">
              <a:graphicData uri="http://schemas.openxmlformats.org/drawingml/2006/picture">
                <pic:pic xmlns:pic="http://schemas.openxmlformats.org/drawingml/2006/picture">
                  <pic:nvPicPr>
                    <pic:cNvPr id="108" name="Picture" descr="images/Sticklebucket_H.rec.Labels.Check.png"/>
                    <pic:cNvPicPr>
                      <a:picLocks noChangeAspect="1" noChangeArrowheads="1"/>
                    </pic:cNvPicPr>
                  </pic:nvPicPr>
                  <pic:blipFill>
                    <a:blip r:embed="rId21"/>
                    <a:stretch>
                      <a:fillRect/>
                    </a:stretch>
                  </pic:blipFill>
                  <pic:spPr bwMode="auto">
                    <a:xfrm>
                      <a:off x="0" y="0"/>
                      <a:ext cx="5943600" cy="5072104"/>
                    </a:xfrm>
                    <a:prstGeom prst="rect">
                      <a:avLst/>
                    </a:prstGeom>
                    <a:noFill/>
                    <a:ln w="9525">
                      <a:noFill/>
                      <a:headEnd/>
                      <a:tailEnd/>
                    </a:ln>
                  </pic:spPr>
                </pic:pic>
              </a:graphicData>
            </a:graphic>
          </wp:inline>
        </w:drawing>
      </w:r>
    </w:p>
    <w:p w14:paraId="324EA8BE" w14:textId="77777777" w:rsidR="006B1FD8" w:rsidRDefault="00923264">
      <w:pPr>
        <w:pStyle w:val="ImageCaption"/>
      </w:pPr>
      <w:r>
        <w:t>Figure 5: Mapping lab book notes, photos, and detected regions to fish ID.</w:t>
      </w:r>
    </w:p>
    <w:bookmarkEnd w:id="14"/>
    <w:p w14:paraId="0EAC5DCA" w14:textId="68E8E1E1" w:rsidR="006B1FD8" w:rsidRDefault="00923264">
      <w:pPr>
        <w:pStyle w:val="BodyText"/>
      </w:pPr>
      <w:r>
        <w:t xml:space="preserve">The </w:t>
      </w:r>
      <w:proofErr w:type="gramStart"/>
      <w:r>
        <w:rPr>
          <w:rStyle w:val="VerbatimChar"/>
        </w:rPr>
        <w:t>skimage.measure</w:t>
      </w:r>
      <w:proofErr w:type="gramEnd"/>
      <w:r>
        <w:rPr>
          <w:rStyle w:val="VerbatimChar"/>
        </w:rPr>
        <w:t>.regionprops</w:t>
      </w:r>
      <w:r>
        <w:t xml:space="preserve"> function used for labeling not only returns the positions of each detected fish, but also the extent of the bounding box of each detected region. We extracted each region of each fish separately out of the large reconstructions (with a configurable border buffer, see Figure </w:t>
      </w:r>
      <w:hyperlink w:anchor="fig:cropping">
        <w:r>
          <w:rPr>
            <w:rStyle w:val="Hyperlink"/>
          </w:rPr>
          <w:t>6</w:t>
        </w:r>
      </w:hyperlink>
      <w:r>
        <w:t xml:space="preserve">) and wrote these extracted regions to disk in discrete folders for efficient further analysis. In a first step, we wrote the regions of the single fish to disk in </w:t>
      </w:r>
      <w:r>
        <w:rPr>
          <w:rStyle w:val="VerbatimChar"/>
        </w:rPr>
        <w:t>zarr</w:t>
      </w:r>
      <w:r>
        <w:t xml:space="preserve"> (</w:t>
      </w:r>
      <w:hyperlink w:anchor="ref-p38Gm1rT">
        <w:r>
          <w:rPr>
            <w:rStyle w:val="Hyperlink"/>
          </w:rPr>
          <w:t>Miles et al., 2020</w:t>
        </w:r>
      </w:hyperlink>
      <w:r>
        <w:t xml:space="preserve">) format, which is a preferred format to store n-dimensional arrays on disk. In addition to this, we also wrote a log file for each extracted region, containing all relevant </w:t>
      </w:r>
      <w:r>
        <w:lastRenderedPageBreak/>
        <w:t xml:space="preserve">information to redo the cropping step completely manually (an </w:t>
      </w:r>
      <w:hyperlink r:id="rId22">
        <w:r>
          <w:rPr>
            <w:rStyle w:val="Hyperlink"/>
          </w:rPr>
          <w:t>example of such a log file</w:t>
        </w:r>
      </w:hyperlink>
      <w:r w:rsidR="004F680B">
        <w:t xml:space="preserve"> [ANONYMIZED LINK]</w:t>
      </w:r>
      <w:r>
        <w:t xml:space="preserve"> is shown as part of the processing repository).</w:t>
      </w:r>
    </w:p>
    <w:p w14:paraId="0596BCEB" w14:textId="77777777" w:rsidR="006B1FD8" w:rsidRDefault="00923264">
      <w:pPr>
        <w:pStyle w:val="CaptionedFigure"/>
      </w:pPr>
      <w:bookmarkStart w:id="15" w:name="fig:cropping"/>
      <w:r>
        <w:rPr>
          <w:noProof/>
        </w:rPr>
        <w:drawing>
          <wp:inline distT="0" distB="0" distL="0" distR="0" wp14:anchorId="433AC148" wp14:editId="4015C51E">
            <wp:extent cx="5943600" cy="1892100"/>
            <wp:effectExtent l="0" t="0" r="0" b="0"/>
            <wp:docPr id="112" name="Picture" descr="Figure 6: Double-checking crop extent and fish ID. The top row shows the extracted regions from the previously calculated MIP of the full scan, the bottom row shows the MIP images of the extracted regions. Both rows must show exactly the same region."/>
            <wp:cNvGraphicFramePr/>
            <a:graphic xmlns:a="http://schemas.openxmlformats.org/drawingml/2006/main">
              <a:graphicData uri="http://schemas.openxmlformats.org/drawingml/2006/picture">
                <pic:pic xmlns:pic="http://schemas.openxmlformats.org/drawingml/2006/picture">
                  <pic:nvPicPr>
                    <pic:cNvPr id="113" name="Picture" descr="images/Sticklebucket_H.rec.Regions.Check.png"/>
                    <pic:cNvPicPr>
                      <a:picLocks noChangeAspect="1" noChangeArrowheads="1"/>
                    </pic:cNvPicPr>
                  </pic:nvPicPr>
                  <pic:blipFill>
                    <a:blip r:embed="rId23"/>
                    <a:stretch>
                      <a:fillRect/>
                    </a:stretch>
                  </pic:blipFill>
                  <pic:spPr bwMode="auto">
                    <a:xfrm>
                      <a:off x="0" y="0"/>
                      <a:ext cx="5943600" cy="1892100"/>
                    </a:xfrm>
                    <a:prstGeom prst="rect">
                      <a:avLst/>
                    </a:prstGeom>
                    <a:noFill/>
                    <a:ln w="9525">
                      <a:noFill/>
                      <a:headEnd/>
                      <a:tailEnd/>
                    </a:ln>
                  </pic:spPr>
                </pic:pic>
              </a:graphicData>
            </a:graphic>
          </wp:inline>
        </w:drawing>
      </w:r>
    </w:p>
    <w:p w14:paraId="02DA2F22" w14:textId="77777777" w:rsidR="006B1FD8" w:rsidRDefault="00923264">
      <w:pPr>
        <w:pStyle w:val="ImageCaption"/>
      </w:pPr>
      <w:r>
        <w:t xml:space="preserve">Figure 6: Double-checking crop extent and fish ID. The top row shows the extracted regions from the previously calculated MIP of the full </w:t>
      </w:r>
      <w:proofErr w:type="gramStart"/>
      <w:r>
        <w:t>scan,</w:t>
      </w:r>
      <w:proofErr w:type="gramEnd"/>
      <w:r>
        <w:t xml:space="preserve"> the bottom row shows the MIP images of the extracted regions. Both rows must show </w:t>
      </w:r>
      <w:proofErr w:type="gramStart"/>
      <w:r>
        <w:t>exactly the same</w:t>
      </w:r>
      <w:proofErr w:type="gramEnd"/>
      <w:r>
        <w:t xml:space="preserve"> region.</w:t>
      </w:r>
    </w:p>
    <w:bookmarkEnd w:id="15"/>
    <w:p w14:paraId="074EE1D4" w14:textId="77777777" w:rsidR="006B1FD8" w:rsidRDefault="00923264">
      <w:pPr>
        <w:pStyle w:val="BodyText"/>
      </w:pPr>
      <w:r>
        <w:t xml:space="preserve">Writing the regions as </w:t>
      </w:r>
      <w:r>
        <w:rPr>
          <w:rStyle w:val="VerbatimChar"/>
        </w:rPr>
        <w:t>zarr</w:t>
      </w:r>
      <w:r>
        <w:t xml:space="preserve"> files made it possible to efficiently work with the image data of each extracted fish and to convert that data to any desired format for further analysis. For this further analysis, we also wrote stacks of </w:t>
      </w:r>
      <w:r>
        <w:rPr>
          <w:rStyle w:val="VerbatimChar"/>
        </w:rPr>
        <w:t>png</w:t>
      </w:r>
      <w:r>
        <w:t xml:space="preserve"> images and, additionally, </w:t>
      </w:r>
      <w:hyperlink r:id="rId24">
        <w:r>
          <w:rPr>
            <w:rStyle w:val="VerbatimChar"/>
          </w:rPr>
          <w:t>nrrd</w:t>
        </w:r>
      </w:hyperlink>
      <w:r>
        <w:t xml:space="preserve"> files for each fish region in both cropped and cropped-and-binarized forms. These binarized regions were segmented into bone and background based on a simple multi-level Otsu thresholding method (</w:t>
      </w:r>
      <w:hyperlink w:anchor="ref-JICzDA7P">
        <w:r>
          <w:rPr>
            <w:rStyle w:val="Hyperlink"/>
          </w:rPr>
          <w:t>廖炳松</w:t>
        </w:r>
        <w:r>
          <w:rPr>
            <w:rStyle w:val="Hyperlink"/>
          </w:rPr>
          <w:t xml:space="preserve"> et al., 2001</w:t>
        </w:r>
      </w:hyperlink>
      <w:r>
        <w:t xml:space="preserve">), (with 4 classes, using only the middle threshold). Providing the regions as </w:t>
      </w:r>
      <w:r>
        <w:rPr>
          <w:rStyle w:val="VerbatimChar"/>
        </w:rPr>
        <w:t>nrrd</w:t>
      </w:r>
      <w:r>
        <w:t xml:space="preserve"> files helped to efficiently work with the datasets as specified in the following sections.</w:t>
      </w:r>
    </w:p>
    <w:p w14:paraId="783A3783" w14:textId="452DCC55" w:rsidR="006B1FD8" w:rsidRDefault="00923264">
      <w:pPr>
        <w:pStyle w:val="BodyText"/>
      </w:pPr>
      <w:r>
        <w:t xml:space="preserve">Using either </w:t>
      </w:r>
      <w:r>
        <w:rPr>
          <w:rStyle w:val="VerbatimChar"/>
        </w:rPr>
        <w:t>K3D-jupyter</w:t>
      </w:r>
      <w:r>
        <w:t xml:space="preserve"> (</w:t>
      </w:r>
      <w:hyperlink w:anchor="ref-jxVw2kt2">
        <w:r>
          <w:rPr>
            <w:rStyle w:val="Hyperlink"/>
            <w:i/>
            <w:iCs/>
          </w:rPr>
          <w:t>Overview — K3D-Jupyter Documentation</w:t>
        </w:r>
        <w:r>
          <w:rPr>
            <w:rStyle w:val="Hyperlink"/>
          </w:rPr>
          <w:t>, n.d.</w:t>
        </w:r>
      </w:hyperlink>
      <w:r>
        <w:t xml:space="preserve">) or </w:t>
      </w:r>
      <w:r>
        <w:rPr>
          <w:rStyle w:val="VerbatimChar"/>
        </w:rPr>
        <w:t>napari</w:t>
      </w:r>
      <w:r>
        <w:t xml:space="preserve"> (</w:t>
      </w:r>
      <w:hyperlink w:anchor="ref-YEMgt2T4">
        <w:r>
          <w:rPr>
            <w:rStyle w:val="Hyperlink"/>
          </w:rPr>
          <w:t>Sofroniew et al., 2026</w:t>
        </w:r>
      </w:hyperlink>
      <w:r>
        <w:t xml:space="preserve">) we implemented a quick way to view any of the extracted regions directly in the Jupyter notebook. </w:t>
      </w:r>
      <w:r>
        <w:rPr>
          <w:rStyle w:val="VerbatimChar"/>
        </w:rPr>
        <w:t>K3D-jupyter</w:t>
      </w:r>
      <w:r>
        <w:t xml:space="preserve"> allows saving an interactive version of the preview. One such interactive preview is </w:t>
      </w:r>
      <w:r w:rsidRPr="004F680B">
        <w:t>available online</w:t>
      </w:r>
      <w:r w:rsidR="004F680B">
        <w:t xml:space="preserve"> [REMOVED LINK, AS IT IS NOT ANONYMIZABLE]</w:t>
      </w:r>
      <w:r>
        <w:t xml:space="preserve">. </w:t>
      </w:r>
      <w:r>
        <w:rPr>
          <w:rStyle w:val="VerbatimChar"/>
        </w:rPr>
        <w:t>napari</w:t>
      </w:r>
      <w:r>
        <w:t xml:space="preserve"> is well suited to load the intermediately generated </w:t>
      </w:r>
      <w:r>
        <w:rPr>
          <w:rStyle w:val="VerbatimChar"/>
        </w:rPr>
        <w:t>*.zarr</w:t>
      </w:r>
      <w:r>
        <w:t xml:space="preserve"> files, Figure </w:t>
      </w:r>
      <w:hyperlink w:anchor="fig:SLX23012_3D">
        <w:r>
          <w:rPr>
            <w:rStyle w:val="Hyperlink"/>
          </w:rPr>
          <w:t>7</w:t>
        </w:r>
      </w:hyperlink>
      <w:r>
        <w:t xml:space="preserve"> shows such a preview.</w:t>
      </w:r>
    </w:p>
    <w:p w14:paraId="6C70A7F2" w14:textId="77777777" w:rsidR="006B1FD8" w:rsidRDefault="00923264">
      <w:pPr>
        <w:pStyle w:val="CaptionedFigure"/>
      </w:pPr>
      <w:bookmarkStart w:id="16" w:name="fig:SLX23012_3D"/>
      <w:r>
        <w:rPr>
          <w:noProof/>
        </w:rPr>
        <w:lastRenderedPageBreak/>
        <w:drawing>
          <wp:inline distT="0" distB="0" distL="0" distR="0" wp14:anchorId="1E37E133" wp14:editId="60C71813">
            <wp:extent cx="5943600" cy="3067333"/>
            <wp:effectExtent l="0" t="0" r="0" b="0"/>
            <wp:docPr id="118" name="Picture" descr="Figure 7: Three-dimensional visualization of one extracted region. Extracted region (label 1 visible upside-down on the left) at the bottom, automatically thresholded (threshold value: 50) region on top."/>
            <wp:cNvGraphicFramePr/>
            <a:graphic xmlns:a="http://schemas.openxmlformats.org/drawingml/2006/main">
              <a:graphicData uri="http://schemas.openxmlformats.org/drawingml/2006/picture">
                <pic:pic xmlns:pic="http://schemas.openxmlformats.org/drawingml/2006/picture">
                  <pic:nvPicPr>
                    <pic:cNvPr id="119" name="Picture" descr="images/SL.X23.012.3D.png"/>
                    <pic:cNvPicPr>
                      <a:picLocks noChangeAspect="1" noChangeArrowheads="1"/>
                    </pic:cNvPicPr>
                  </pic:nvPicPr>
                  <pic:blipFill>
                    <a:blip r:embed="rId25"/>
                    <a:stretch>
                      <a:fillRect/>
                    </a:stretch>
                  </pic:blipFill>
                  <pic:spPr bwMode="auto">
                    <a:xfrm>
                      <a:off x="0" y="0"/>
                      <a:ext cx="5943600" cy="3067333"/>
                    </a:xfrm>
                    <a:prstGeom prst="rect">
                      <a:avLst/>
                    </a:prstGeom>
                    <a:noFill/>
                    <a:ln w="9525">
                      <a:noFill/>
                      <a:headEnd/>
                      <a:tailEnd/>
                    </a:ln>
                  </pic:spPr>
                </pic:pic>
              </a:graphicData>
            </a:graphic>
          </wp:inline>
        </w:drawing>
      </w:r>
    </w:p>
    <w:p w14:paraId="38E7DA49" w14:textId="77777777" w:rsidR="006B1FD8" w:rsidRDefault="00923264">
      <w:pPr>
        <w:pStyle w:val="ImageCaption"/>
      </w:pPr>
      <w:r>
        <w:t>Figure 7: Three-dimensional visualization of one extracted region. Extracted region (label 1 visible upside-down on the left) at the bottom, automatically thresholded (threshold value: 50) region on top.</w:t>
      </w:r>
    </w:p>
    <w:p w14:paraId="31AE0799" w14:textId="77777777" w:rsidR="006B1FD8" w:rsidRDefault="00923264">
      <w:pPr>
        <w:pStyle w:val="Heading4"/>
      </w:pPr>
      <w:bookmarkStart w:id="17" w:name="extraction-of-features-of-interest"/>
      <w:bookmarkEnd w:id="9"/>
      <w:bookmarkEnd w:id="12"/>
      <w:bookmarkEnd w:id="16"/>
      <w:r>
        <w:t>Extraction of features of interest</w:t>
      </w:r>
    </w:p>
    <w:p w14:paraId="7C6653B1" w14:textId="77777777" w:rsidR="006B1FD8" w:rsidRDefault="00923264">
      <w:pPr>
        <w:pStyle w:val="FirstParagraph"/>
      </w:pPr>
      <w:r>
        <w:t>After separation, the cropped image files were checked and rendered using 3D Slicer (</w:t>
      </w:r>
      <w:hyperlink w:anchor="ref-EsDua5wx">
        <w:r>
          <w:rPr>
            <w:rStyle w:val="Hyperlink"/>
          </w:rPr>
          <w:t>Kikinis et al., 2013</w:t>
        </w:r>
      </w:hyperlink>
      <w:r>
        <w:t>) and the SlicerMorph extension (</w:t>
      </w:r>
      <w:hyperlink w:anchor="ref-MwdN6kPV">
        <w:r>
          <w:rPr>
            <w:rStyle w:val="Hyperlink"/>
          </w:rPr>
          <w:t>Rolfe et al., 2021</w:t>
        </w:r>
      </w:hyperlink>
      <w:r>
        <w:t xml:space="preserve">). The individual elements of the branchial apparatus were rendered using a combination of thresholding and ‘Split Islands’ tools to separate the pharyngobranchials, epibranchials, basibranchials, hypobranchials and ceratobranchials (see Figure </w:t>
      </w:r>
      <w:hyperlink w:anchor="fig:branchial_anatomy">
        <w:r>
          <w:rPr>
            <w:rStyle w:val="Hyperlink"/>
          </w:rPr>
          <w:t>8</w:t>
        </w:r>
      </w:hyperlink>
      <w:r>
        <w:t>).</w:t>
      </w:r>
    </w:p>
    <w:p w14:paraId="7CA5A8B4" w14:textId="77777777" w:rsidR="006B1FD8" w:rsidRDefault="00923264">
      <w:pPr>
        <w:pStyle w:val="CaptionedFigure"/>
      </w:pPr>
      <w:bookmarkStart w:id="18" w:name="fig:branchial_anatomy"/>
      <w:r>
        <w:rPr>
          <w:noProof/>
        </w:rPr>
        <w:lastRenderedPageBreak/>
        <w:drawing>
          <wp:inline distT="0" distB="0" distL="0" distR="0" wp14:anchorId="50F373BB" wp14:editId="26ABBD2E">
            <wp:extent cx="5943600" cy="3911665"/>
            <wp:effectExtent l="0" t="0" r="0" b="0"/>
            <wp:docPr id="124" name="Picture" descr="Figure 8: Example of branchial anatomy with CB1 and CB2 highlighted in pink. Abbreviations: PB = pharyngobranchials, EB = epibranchials, BB = basibranchials, HB = hypobranchials, CB = ceratobranchials."/>
            <wp:cNvGraphicFramePr/>
            <a:graphic xmlns:a="http://schemas.openxmlformats.org/drawingml/2006/main">
              <a:graphicData uri="http://schemas.openxmlformats.org/drawingml/2006/picture">
                <pic:pic xmlns:pic="http://schemas.openxmlformats.org/drawingml/2006/picture">
                  <pic:nvPicPr>
                    <pic:cNvPr id="125" name="Picture" descr="images/Branchial_Figure.png"/>
                    <pic:cNvPicPr>
                      <a:picLocks noChangeAspect="1" noChangeArrowheads="1"/>
                    </pic:cNvPicPr>
                  </pic:nvPicPr>
                  <pic:blipFill>
                    <a:blip r:embed="rId26"/>
                    <a:stretch>
                      <a:fillRect/>
                    </a:stretch>
                  </pic:blipFill>
                  <pic:spPr bwMode="auto">
                    <a:xfrm>
                      <a:off x="0" y="0"/>
                      <a:ext cx="5943600" cy="3911665"/>
                    </a:xfrm>
                    <a:prstGeom prst="rect">
                      <a:avLst/>
                    </a:prstGeom>
                    <a:noFill/>
                    <a:ln w="9525">
                      <a:noFill/>
                      <a:headEnd/>
                      <a:tailEnd/>
                    </a:ln>
                  </pic:spPr>
                </pic:pic>
              </a:graphicData>
            </a:graphic>
          </wp:inline>
        </w:drawing>
      </w:r>
    </w:p>
    <w:p w14:paraId="7A4607E2" w14:textId="77777777" w:rsidR="006B1FD8" w:rsidRDefault="00923264">
      <w:pPr>
        <w:pStyle w:val="ImageCaption"/>
      </w:pPr>
      <w:r>
        <w:t>Figure 8: Example of branchial anatomy with CB1 and CB2 highlighted in pink. Abbreviations: PB = pharyngobranchials, EB = epibranchials, BB = basibranchials, HB = hypobranchials, CB = ceratobranchials.</w:t>
      </w:r>
    </w:p>
    <w:bookmarkEnd w:id="18"/>
    <w:p w14:paraId="6BA96B1A" w14:textId="77777777" w:rsidR="006B1FD8" w:rsidRDefault="00923264">
      <w:pPr>
        <w:pStyle w:val="BodyText"/>
      </w:pPr>
      <w:r>
        <w:t xml:space="preserve">Once rendered, these bones were exported as a colored labelmap alongside the </w:t>
      </w:r>
      <w:r>
        <w:rPr>
          <w:rStyle w:val="VerbatimChar"/>
        </w:rPr>
        <w:t>nrrd</w:t>
      </w:r>
      <w:r>
        <w:t xml:space="preserve"> file from which they were segmented to pass to the Biomedisa program.</w:t>
      </w:r>
    </w:p>
    <w:p w14:paraId="5D7EA3FA" w14:textId="77777777" w:rsidR="006B1FD8" w:rsidRDefault="00923264">
      <w:pPr>
        <w:pStyle w:val="Heading4"/>
      </w:pPr>
      <w:bookmarkStart w:id="19" w:name="machine-learning-and-model-training"/>
      <w:bookmarkEnd w:id="17"/>
      <w:r>
        <w:t>Machine learning and model training</w:t>
      </w:r>
    </w:p>
    <w:p w14:paraId="5E659E70" w14:textId="77777777" w:rsidR="006B1FD8" w:rsidRDefault="00923264">
      <w:pPr>
        <w:pStyle w:val="FirstParagraph"/>
      </w:pPr>
      <w:r>
        <w:t xml:space="preserve">We passed a dataset of 51 specimens (including </w:t>
      </w:r>
      <w:r>
        <w:rPr>
          <w:rStyle w:val="VerbatimChar"/>
        </w:rPr>
        <w:t>nrrd</w:t>
      </w:r>
      <w:r>
        <w:t xml:space="preserve"> and </w:t>
      </w:r>
      <w:r>
        <w:rPr>
          <w:rStyle w:val="VerbatimChar"/>
        </w:rPr>
        <w:t>label</w:t>
      </w:r>
      <w:r>
        <w:t xml:space="preserve"> files) to Biomedisa (</w:t>
      </w:r>
      <w:hyperlink w:anchor="ref-jHalJ9Zw">
        <w:r>
          <w:rPr>
            <w:rStyle w:val="Hyperlink"/>
          </w:rPr>
          <w:t>Lösel et al., 2020</w:t>
        </w:r>
      </w:hyperlink>
      <w:r>
        <w:t xml:space="preserve">) to train a segmentation model. We allowed for rotation of 180° to account for possible specimen variability, with an 80/20 split between training and validation data. The model was trained with a batch size of 24 and 50 epochs, using a network architecture of 32-64-128-256-512. The final model performs well, with a dice score of 0.9159 on the validation dataset. We </w:t>
      </w:r>
      <w:r>
        <w:lastRenderedPageBreak/>
        <w:t>only performed manual touchups where adjacent bones were extremely close together (causing their appearance to be “stuck” in the final render; this is also an issue with manual segmentation and not exclusive to the hereby described approach).</w:t>
      </w:r>
    </w:p>
    <w:p w14:paraId="7B7C08BF" w14:textId="77777777" w:rsidR="006B1FD8" w:rsidRDefault="00923264">
      <w:pPr>
        <w:pStyle w:val="Heading4"/>
      </w:pPr>
      <w:bookmarkStart w:id="20" w:name="landmarking-of-models"/>
      <w:bookmarkEnd w:id="19"/>
      <w:r>
        <w:t>Landmarking of models</w:t>
      </w:r>
    </w:p>
    <w:p w14:paraId="60689453" w14:textId="77777777" w:rsidR="006B1FD8" w:rsidRDefault="00923264">
      <w:pPr>
        <w:pStyle w:val="FirstParagraph"/>
      </w:pPr>
      <w:r>
        <w:t xml:space="preserve">To demonstrate the effectiveness of this tool and the importance of 3D morphometrics for answering evolutionary questions, we quantified the shape differences of the ceratobranchial bones. Once trained, we applied the Biomedisa segmentation model to the remaining 160 specimens and landmarked the </w:t>
      </w:r>
      <w:proofErr w:type="gramStart"/>
      <w:r>
        <w:t>final results</w:t>
      </w:r>
      <w:proofErr w:type="gramEnd"/>
      <w:r>
        <w:t xml:space="preserve"> using Stratovan Checkpoint (</w:t>
      </w:r>
      <w:hyperlink w:anchor="ref-1EuiurioH">
        <w:r>
          <w:rPr>
            <w:rStyle w:val="Hyperlink"/>
          </w:rPr>
          <w:t>Stratovan Corporation, n.d.</w:t>
        </w:r>
      </w:hyperlink>
      <w:r>
        <w:t xml:space="preserve">). As a test and for subsequent analysis, the first and second right ceratobranchials were chosen for comparison across all specimens. Type II landmarks were set on the ends of each bone, with semilandmarks in-between each to cover axes of curvature along the bone (see Figure </w:t>
      </w:r>
      <w:hyperlink w:anchor="fig:landmarks">
        <w:r>
          <w:rPr>
            <w:rStyle w:val="Hyperlink"/>
          </w:rPr>
          <w:t>9</w:t>
        </w:r>
      </w:hyperlink>
      <w:r>
        <w:t xml:space="preserve">). In total, 7 landmarks and 4 semilandmark curves (two containing 20 semilandmarks, two containing 15) were placed on the first ceratobranchial (CB1), and 5 landmarks and 3 semilandmark curves (one containing 20 semilandmarks, two containing 15) were placed on the second ceratobranchial (CB2). Equal distances were ensured using the </w:t>
      </w:r>
      <w:r>
        <w:rPr>
          <w:rStyle w:val="VerbatimChar"/>
        </w:rPr>
        <w:t>resample_curves</w:t>
      </w:r>
      <w:r>
        <w:t xml:space="preserve"> function in 3D Slicer.</w:t>
      </w:r>
    </w:p>
    <w:p w14:paraId="270F279E" w14:textId="77777777" w:rsidR="006B1FD8" w:rsidRDefault="00923264">
      <w:pPr>
        <w:pStyle w:val="CaptionedFigure"/>
      </w:pPr>
      <w:bookmarkStart w:id="21" w:name="fig:landmarks"/>
      <w:r>
        <w:rPr>
          <w:noProof/>
        </w:rPr>
        <w:lastRenderedPageBreak/>
        <w:drawing>
          <wp:inline distT="0" distB="0" distL="0" distR="0" wp14:anchorId="258544EF" wp14:editId="04B259A6">
            <wp:extent cx="5324315" cy="3724880"/>
            <wp:effectExtent l="0" t="0" r="0" b="0"/>
            <wp:docPr id="130" name="Picture" descr="Figure 9: Landmarking shown on dorsal (a) and ventral surfaces (b)."/>
            <wp:cNvGraphicFramePr/>
            <a:graphic xmlns:a="http://schemas.openxmlformats.org/drawingml/2006/main">
              <a:graphicData uri="http://schemas.openxmlformats.org/drawingml/2006/picture">
                <pic:pic xmlns:pic="http://schemas.openxmlformats.org/drawingml/2006/picture">
                  <pic:nvPicPr>
                    <pic:cNvPr id="131" name="Picture" descr="images/Landmark_Figure.png"/>
                    <pic:cNvPicPr>
                      <a:picLocks noChangeAspect="1" noChangeArrowheads="1"/>
                    </pic:cNvPicPr>
                  </pic:nvPicPr>
                  <pic:blipFill>
                    <a:blip r:embed="rId27"/>
                    <a:stretch>
                      <a:fillRect/>
                    </a:stretch>
                  </pic:blipFill>
                  <pic:spPr bwMode="auto">
                    <a:xfrm>
                      <a:off x="0" y="0"/>
                      <a:ext cx="5324315" cy="3724880"/>
                    </a:xfrm>
                    <a:prstGeom prst="rect">
                      <a:avLst/>
                    </a:prstGeom>
                    <a:noFill/>
                    <a:ln w="9525">
                      <a:noFill/>
                      <a:headEnd/>
                      <a:tailEnd/>
                    </a:ln>
                  </pic:spPr>
                </pic:pic>
              </a:graphicData>
            </a:graphic>
          </wp:inline>
        </w:drawing>
      </w:r>
    </w:p>
    <w:p w14:paraId="0B6FAEB8" w14:textId="77777777" w:rsidR="006B1FD8" w:rsidRDefault="00923264">
      <w:pPr>
        <w:pStyle w:val="ImageCaption"/>
      </w:pPr>
      <w:r>
        <w:t>Figure 9: Landmarking shown on dorsal (a) and ventral surfaces (b).</w:t>
      </w:r>
    </w:p>
    <w:p w14:paraId="568E85E9" w14:textId="77777777" w:rsidR="006B1FD8" w:rsidRDefault="00923264">
      <w:pPr>
        <w:pStyle w:val="Heading4"/>
      </w:pPr>
      <w:bookmarkStart w:id="22" w:name="analysis-of-shape"/>
      <w:bookmarkEnd w:id="20"/>
      <w:bookmarkEnd w:id="21"/>
      <w:r>
        <w:t>Analysis of shape</w:t>
      </w:r>
    </w:p>
    <w:p w14:paraId="2B4770A2" w14:textId="49AA65F2" w:rsidR="00FC555B" w:rsidRPr="00FF13D0" w:rsidRDefault="00923264" w:rsidP="00FF13D0">
      <w:pPr>
        <w:pStyle w:val="FirstParagraph"/>
      </w:pPr>
      <w:r>
        <w:t>All subsequent analyses were run using R (version 4.4.1, (</w:t>
      </w:r>
      <w:hyperlink w:anchor="ref-whEyWyQh">
        <w:r>
          <w:rPr>
            <w:rStyle w:val="Hyperlink"/>
          </w:rPr>
          <w:t>R Core Team, 2021</w:t>
        </w:r>
      </w:hyperlink>
      <w:r>
        <w:t>)) and the geomorph package (</w:t>
      </w:r>
      <w:hyperlink w:anchor="ref-vVigKiE">
        <w:r>
          <w:rPr>
            <w:rStyle w:val="Hyperlink"/>
          </w:rPr>
          <w:t>Adams et al., 2012</w:t>
        </w:r>
      </w:hyperlink>
      <w:r>
        <w:t xml:space="preserve">; </w:t>
      </w:r>
      <w:hyperlink w:anchor="ref-100JsQfhF">
        <w:r>
          <w:rPr>
            <w:rStyle w:val="Hyperlink"/>
          </w:rPr>
          <w:t>Baken et al., 2021</w:t>
        </w:r>
      </w:hyperlink>
      <w:r>
        <w:t xml:space="preserve">; </w:t>
      </w:r>
      <w:hyperlink w:anchor="ref-VPUOQA2P">
        <w:r>
          <w:rPr>
            <w:rStyle w:val="Hyperlink"/>
          </w:rPr>
          <w:t>M. L. Collyer &amp; Adams, 2018</w:t>
        </w:r>
      </w:hyperlink>
      <w:r>
        <w:t xml:space="preserve">; </w:t>
      </w:r>
      <w:hyperlink w:anchor="ref-1FNzpGn6o">
        <w:r>
          <w:rPr>
            <w:rStyle w:val="Hyperlink"/>
          </w:rPr>
          <w:t>M. Collyer &amp; Adams, 2018</w:t>
        </w:r>
      </w:hyperlink>
      <w:r>
        <w:t xml:space="preserve">). Both bones were split and analyzed separately after generalized Procrustes analysis (GPA) using the </w:t>
      </w:r>
      <w:hyperlink r:id="rId28">
        <w:proofErr w:type="gramStart"/>
        <w:r>
          <w:rPr>
            <w:rStyle w:val="VerbatimChar"/>
          </w:rPr>
          <w:t>gpagen(</w:t>
        </w:r>
        <w:proofErr w:type="gramEnd"/>
        <w:r>
          <w:rPr>
            <w:rStyle w:val="VerbatimChar"/>
          </w:rPr>
          <w:t>)</w:t>
        </w:r>
      </w:hyperlink>
      <w:r>
        <w:t xml:space="preserve"> function, with Principal Component Analysis (PCA) and linear models run with </w:t>
      </w:r>
      <w:hyperlink r:id="rId29">
        <w:proofErr w:type="gramStart"/>
        <w:r>
          <w:rPr>
            <w:rStyle w:val="VerbatimChar"/>
          </w:rPr>
          <w:t>gm.prcomp</w:t>
        </w:r>
        <w:proofErr w:type="gramEnd"/>
        <w:r>
          <w:rPr>
            <w:rStyle w:val="VerbatimChar"/>
          </w:rPr>
          <w:t>()</w:t>
        </w:r>
      </w:hyperlink>
      <w:r>
        <w:t xml:space="preserve"> and </w:t>
      </w:r>
      <w:hyperlink r:id="rId30">
        <w:r>
          <w:rPr>
            <w:rStyle w:val="VerbatimChar"/>
          </w:rPr>
          <w:t>procD.lm()</w:t>
        </w:r>
      </w:hyperlink>
      <w:r>
        <w:t xml:space="preserve">, respectively. Linear fits were further investigated via the </w:t>
      </w:r>
      <w:proofErr w:type="gramStart"/>
      <w:r>
        <w:rPr>
          <w:rStyle w:val="VerbatimChar"/>
        </w:rPr>
        <w:t>pairwise(</w:t>
      </w:r>
      <w:proofErr w:type="gramEnd"/>
      <w:r>
        <w:rPr>
          <w:rStyle w:val="VerbatimChar"/>
        </w:rPr>
        <w:t>)</w:t>
      </w:r>
      <w:r>
        <w:t xml:space="preserve"> function to analyze differences in pairwise statistics.</w:t>
      </w:r>
      <w:bookmarkStart w:id="23" w:name="results"/>
      <w:bookmarkEnd w:id="3"/>
      <w:bookmarkEnd w:id="8"/>
      <w:bookmarkEnd w:id="22"/>
      <w:r w:rsidR="00FC555B">
        <w:br w:type="page"/>
      </w:r>
    </w:p>
    <w:p w14:paraId="7BDFA542" w14:textId="4351917E" w:rsidR="006B1FD8" w:rsidRDefault="00923264">
      <w:pPr>
        <w:pStyle w:val="Heading2"/>
      </w:pPr>
      <w:r>
        <w:lastRenderedPageBreak/>
        <w:t>Results</w:t>
      </w:r>
    </w:p>
    <w:p w14:paraId="4DD3D328" w14:textId="77777777" w:rsidR="006B1FD8" w:rsidRDefault="00923264">
      <w:pPr>
        <w:pStyle w:val="Heading3"/>
      </w:pPr>
      <w:bookmarkStart w:id="24" w:name="micro-ct-imaging-data"/>
      <w:r>
        <w:t>micro-CT imaging data</w:t>
      </w:r>
    </w:p>
    <w:p w14:paraId="52587AE0" w14:textId="77777777" w:rsidR="006B1FD8" w:rsidRDefault="00923264">
      <w:pPr>
        <w:pStyle w:val="FirstParagraph"/>
      </w:pPr>
      <w:r>
        <w:t xml:space="preserve">Acquisition and reconstruction of fish datasets were successful and enabled high-throughput processing. A total of 215 unique specimens were scanned in 38 different scans with a total scanning duration of nearly 16 days. We acquired 136838 projections, reconstructed into a total of 154622 reconstructions, resulting in approximately 4000 reconstruction </w:t>
      </w:r>
      <w:r>
        <w:rPr>
          <w:rStyle w:val="VerbatimChar"/>
        </w:rPr>
        <w:t>png</w:t>
      </w:r>
      <w:r>
        <w:t xml:space="preserve"> files per scan (N=38).</w:t>
      </w:r>
    </w:p>
    <w:p w14:paraId="276EB8F2" w14:textId="77777777" w:rsidR="006B1FD8" w:rsidRDefault="00923264">
      <w:pPr>
        <w:pStyle w:val="Heading3"/>
      </w:pPr>
      <w:bookmarkStart w:id="25" w:name="fish-separation"/>
      <w:bookmarkEnd w:id="24"/>
      <w:r>
        <w:t>Fish separation</w:t>
      </w:r>
    </w:p>
    <w:p w14:paraId="5DB9E006" w14:textId="77777777" w:rsidR="006B1FD8" w:rsidRDefault="00923264">
      <w:pPr>
        <w:pStyle w:val="FirstParagraph"/>
      </w:pPr>
      <w:r>
        <w:t>Our method reproducibly extracts each of the six fish scanned simultaneously in one scan. The custom-made sample holder aligns each fish along the vertical axis around the rotation axis of the tomographic scan. The extraction based on the MIP image along the rotation axis is completely automated and very robust, since the detected fish ‘regions’ do not overlap in the resulting image.</w:t>
      </w:r>
    </w:p>
    <w:p w14:paraId="3ED4244A" w14:textId="77777777" w:rsidR="006B1FD8" w:rsidRDefault="00923264">
      <w:pPr>
        <w:pStyle w:val="BodyText"/>
      </w:pPr>
      <w:r>
        <w:t xml:space="preserve">The resulting image stack, containing six fish in one multi-specimen scan, creates a large output dataset that can be unwieldy to manage even for experienced users. Depending on the available hardware, it may not even be possible to load the resulting image stack into an image processing software </w:t>
      </w:r>
      <w:proofErr w:type="gramStart"/>
      <w:r>
        <w:t>in order to</w:t>
      </w:r>
      <w:proofErr w:type="gramEnd"/>
      <w:r>
        <w:t xml:space="preserve"> manually perform the cropping. Large stacks of images (in other words larger than the available RAM of the available machine) can be loaded as </w:t>
      </w:r>
      <w:hyperlink r:id="rId31">
        <w:r>
          <w:rPr>
            <w:rStyle w:val="Hyperlink"/>
          </w:rPr>
          <w:t>virtual stacks</w:t>
        </w:r>
      </w:hyperlink>
      <w:r>
        <w:t xml:space="preserve">, but to manually crop the region of each fish from the large scan with the </w:t>
      </w:r>
      <w:hyperlink r:id="rId32">
        <w:r>
          <w:rPr>
            <w:rStyle w:val="Hyperlink"/>
          </w:rPr>
          <w:t>Crop (3D)</w:t>
        </w:r>
      </w:hyperlink>
      <w:r>
        <w:t xml:space="preserve"> function, one needs to load the full dataset. Since one (exemplary) dataset (</w:t>
      </w:r>
      <w:r>
        <w:rPr>
          <w:rStyle w:val="VerbatimChar"/>
        </w:rPr>
        <w:t>Sticklebucket_10</w:t>
      </w:r>
      <w:r>
        <w:t>) is 7 GB on disk and reported as 35.4 GB when loaded in Fiji (</w:t>
      </w:r>
      <w:hyperlink w:anchor="ref-Fkmz2cmo">
        <w:r>
          <w:rPr>
            <w:rStyle w:val="Hyperlink"/>
          </w:rPr>
          <w:t>Schindelin et al., 2012</w:t>
        </w:r>
      </w:hyperlink>
      <w:r>
        <w:t>), using the 3D cropping function on an original single multi-specimen dataset is not possible without a powerful workstation.</w:t>
      </w:r>
    </w:p>
    <w:p w14:paraId="6B810A1D" w14:textId="77777777" w:rsidR="006B1FD8" w:rsidRDefault="00923264">
      <w:pPr>
        <w:pStyle w:val="BodyText"/>
      </w:pPr>
      <w:r>
        <w:lastRenderedPageBreak/>
        <w:t xml:space="preserve">Extracting individual fish from the encompassing dataset would thus be a two-step manual process, e.g. cropping the full dataset loaded as virtual stack and then cropping it down further before writing out the cropped stack. For each encompassing scan this would need to be repeated 6 times (for </w:t>
      </w:r>
      <w:r>
        <w:rPr>
          <w:i/>
          <w:iCs/>
        </w:rPr>
        <w:t>each</w:t>
      </w:r>
      <w:r>
        <w:t xml:space="preserve"> of the 6 fish in each of the encompassing scans). In addition, such a manual process is not reproducible in the sense that it cannot be consistently replicated by others using the same data since the manual cropping is </w:t>
      </w:r>
      <w:proofErr w:type="gramStart"/>
      <w:r>
        <w:t>operator-dependent</w:t>
      </w:r>
      <w:proofErr w:type="gramEnd"/>
      <w:r>
        <w:t xml:space="preserve">. Algorithmically/automatically cropping the large datasets based on the axial MIP image leads to both reproducible cropped regions and efficiently uses the operator time by eliminating manual cropping steps (see Table </w:t>
      </w:r>
      <w:hyperlink w:anchor="tbl:timing">
        <w:r>
          <w:rPr>
            <w:rStyle w:val="Hyperlink"/>
          </w:rPr>
          <w:t>1</w:t>
        </w:r>
      </w:hyperlink>
      <w:r>
        <w:t>).</w:t>
      </w:r>
    </w:p>
    <w:p w14:paraId="506DF591" w14:textId="77777777" w:rsidR="006B1FD8" w:rsidRDefault="00923264">
      <w:pPr>
        <w:pStyle w:val="TableCaption"/>
      </w:pPr>
      <w:bookmarkStart w:id="26" w:name="tbl:timing"/>
      <w:r>
        <w:t xml:space="preserve">Table 1: Comparison of time estimates between manual and pipeline runs. Note that it would have been completely infeasible to scan each fish separately. On average, we scanned 5.66 fish per scan for a total scan time of 15 days, 23 hours, 50 minutes and 24 seconds. The manual scan time per single fish is thus a calculated 5 times longer than scanning 6 fish at a time in a single scan and separating them after the fact. Also note that the manual splitting does </w:t>
      </w:r>
      <w:r>
        <w:rPr>
          <w:iCs/>
        </w:rPr>
        <w:t>not</w:t>
      </w:r>
      <w:r>
        <w:t xml:space="preserve"> produce the accompanying log file and figures for double-checking as specified below. </w:t>
      </w:r>
    </w:p>
    <w:tbl>
      <w:tblPr>
        <w:tblStyle w:val="Table"/>
        <w:tblW w:w="5000" w:type="pct"/>
        <w:tblLook w:val="0020" w:firstRow="1" w:lastRow="0" w:firstColumn="0" w:lastColumn="0" w:noHBand="0" w:noVBand="0"/>
      </w:tblPr>
      <w:tblGrid>
        <w:gridCol w:w="3528"/>
        <w:gridCol w:w="2307"/>
        <w:gridCol w:w="2335"/>
        <w:gridCol w:w="1406"/>
      </w:tblGrid>
      <w:tr w:rsidR="006B1FD8" w14:paraId="0A77882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25729F68" w14:textId="77777777" w:rsidR="006B1FD8" w:rsidRDefault="00923264">
            <w:pPr>
              <w:pStyle w:val="Compact"/>
            </w:pPr>
            <w:r>
              <w:t>Task</w:t>
            </w:r>
          </w:p>
        </w:tc>
        <w:tc>
          <w:tcPr>
            <w:tcW w:w="0" w:type="auto"/>
          </w:tcPr>
          <w:p w14:paraId="395A298E" w14:textId="77777777" w:rsidR="006B1FD8" w:rsidRDefault="00923264">
            <w:pPr>
              <w:pStyle w:val="Compact"/>
              <w:jc w:val="right"/>
            </w:pPr>
            <w:r>
              <w:t>Est. Manual Time</w:t>
            </w:r>
          </w:p>
        </w:tc>
        <w:tc>
          <w:tcPr>
            <w:tcW w:w="0" w:type="auto"/>
          </w:tcPr>
          <w:p w14:paraId="52F8FF15" w14:textId="77777777" w:rsidR="006B1FD8" w:rsidRDefault="00923264">
            <w:pPr>
              <w:pStyle w:val="Compact"/>
              <w:jc w:val="right"/>
            </w:pPr>
            <w:r>
              <w:t>Pipeline Time</w:t>
            </w:r>
          </w:p>
        </w:tc>
        <w:tc>
          <w:tcPr>
            <w:tcW w:w="0" w:type="auto"/>
          </w:tcPr>
          <w:p w14:paraId="355EA1F2" w14:textId="77777777" w:rsidR="006B1FD8" w:rsidRDefault="00923264">
            <w:pPr>
              <w:pStyle w:val="Compact"/>
              <w:jc w:val="right"/>
            </w:pPr>
            <w:r>
              <w:t>Speed-up</w:t>
            </w:r>
          </w:p>
        </w:tc>
      </w:tr>
      <w:tr w:rsidR="006B1FD8" w14:paraId="70D924E1" w14:textId="77777777">
        <w:tc>
          <w:tcPr>
            <w:tcW w:w="0" w:type="auto"/>
          </w:tcPr>
          <w:p w14:paraId="26AFCFDC" w14:textId="77777777" w:rsidR="006B1FD8" w:rsidRDefault="00923264">
            <w:pPr>
              <w:pStyle w:val="Compact"/>
            </w:pPr>
            <w:r>
              <w:t>Scanning single fish</w:t>
            </w:r>
          </w:p>
        </w:tc>
        <w:tc>
          <w:tcPr>
            <w:tcW w:w="0" w:type="auto"/>
          </w:tcPr>
          <w:p w14:paraId="41C5F686" w14:textId="77777777" w:rsidR="006B1FD8" w:rsidRDefault="00923264">
            <w:pPr>
              <w:pStyle w:val="Compact"/>
              <w:jc w:val="right"/>
            </w:pPr>
            <w:r>
              <w:t>~10 hours</w:t>
            </w:r>
          </w:p>
        </w:tc>
        <w:tc>
          <w:tcPr>
            <w:tcW w:w="0" w:type="auto"/>
          </w:tcPr>
          <w:p w14:paraId="628F5715" w14:textId="77777777" w:rsidR="006B1FD8" w:rsidRDefault="00923264">
            <w:pPr>
              <w:pStyle w:val="Compact"/>
              <w:jc w:val="right"/>
            </w:pPr>
            <w:r>
              <w:t>1 hour, 45 minutes</w:t>
            </w:r>
          </w:p>
        </w:tc>
        <w:tc>
          <w:tcPr>
            <w:tcW w:w="0" w:type="auto"/>
          </w:tcPr>
          <w:p w14:paraId="300CA9C1" w14:textId="77777777" w:rsidR="006B1FD8" w:rsidRDefault="00923264">
            <w:pPr>
              <w:pStyle w:val="Compact"/>
              <w:jc w:val="right"/>
            </w:pPr>
            <w:r>
              <w:t>~5.5 x</w:t>
            </w:r>
          </w:p>
        </w:tc>
      </w:tr>
      <w:tr w:rsidR="006B1FD8" w14:paraId="12BD0DC1" w14:textId="77777777">
        <w:tc>
          <w:tcPr>
            <w:tcW w:w="0" w:type="auto"/>
          </w:tcPr>
          <w:p w14:paraId="5568CEC9" w14:textId="77777777" w:rsidR="006B1FD8" w:rsidRPr="00FC555B" w:rsidRDefault="00923264">
            <w:pPr>
              <w:pStyle w:val="Compact"/>
              <w:rPr>
                <w:lang w:val="en-US"/>
              </w:rPr>
            </w:pPr>
            <w:r w:rsidRPr="00FC555B">
              <w:rPr>
                <w:lang w:val="en-US"/>
              </w:rPr>
              <w:t>Splitting scans into single fish</w:t>
            </w:r>
          </w:p>
        </w:tc>
        <w:tc>
          <w:tcPr>
            <w:tcW w:w="0" w:type="auto"/>
          </w:tcPr>
          <w:p w14:paraId="30D1E962" w14:textId="77777777" w:rsidR="006B1FD8" w:rsidRDefault="00923264">
            <w:pPr>
              <w:pStyle w:val="Compact"/>
              <w:jc w:val="right"/>
            </w:pPr>
            <w:r>
              <w:t>17 minutes</w:t>
            </w:r>
          </w:p>
        </w:tc>
        <w:tc>
          <w:tcPr>
            <w:tcW w:w="0" w:type="auto"/>
          </w:tcPr>
          <w:p w14:paraId="7FF331CF" w14:textId="77777777" w:rsidR="006B1FD8" w:rsidRDefault="00923264">
            <w:pPr>
              <w:pStyle w:val="Compact"/>
              <w:jc w:val="right"/>
            </w:pPr>
            <w:r>
              <w:t>9 minutes</w:t>
            </w:r>
          </w:p>
        </w:tc>
        <w:tc>
          <w:tcPr>
            <w:tcW w:w="0" w:type="auto"/>
          </w:tcPr>
          <w:p w14:paraId="2FCAD0E7" w14:textId="77777777" w:rsidR="006B1FD8" w:rsidRDefault="00923264">
            <w:pPr>
              <w:pStyle w:val="Compact"/>
              <w:jc w:val="right"/>
            </w:pPr>
            <w:r>
              <w:t>~2 x</w:t>
            </w:r>
          </w:p>
        </w:tc>
      </w:tr>
      <w:tr w:rsidR="006B1FD8" w14:paraId="1E25EE04" w14:textId="77777777">
        <w:tc>
          <w:tcPr>
            <w:tcW w:w="0" w:type="auto"/>
          </w:tcPr>
          <w:p w14:paraId="79C564CD" w14:textId="77777777" w:rsidR="006B1FD8" w:rsidRDefault="00923264">
            <w:pPr>
              <w:pStyle w:val="Compact"/>
            </w:pPr>
            <w:r>
              <w:t>Rendering volumes</w:t>
            </w:r>
          </w:p>
        </w:tc>
        <w:tc>
          <w:tcPr>
            <w:tcW w:w="0" w:type="auto"/>
          </w:tcPr>
          <w:p w14:paraId="24B8F573" w14:textId="77777777" w:rsidR="006B1FD8" w:rsidRDefault="00923264">
            <w:pPr>
              <w:pStyle w:val="Compact"/>
              <w:jc w:val="right"/>
            </w:pPr>
            <w:r>
              <w:t>5 minutes</w:t>
            </w:r>
          </w:p>
        </w:tc>
        <w:tc>
          <w:tcPr>
            <w:tcW w:w="0" w:type="auto"/>
          </w:tcPr>
          <w:p w14:paraId="66AD02AF" w14:textId="77777777" w:rsidR="006B1FD8" w:rsidRDefault="00923264">
            <w:pPr>
              <w:pStyle w:val="Compact"/>
              <w:jc w:val="right"/>
            </w:pPr>
            <w:r>
              <w:t>15 seconds</w:t>
            </w:r>
          </w:p>
        </w:tc>
        <w:tc>
          <w:tcPr>
            <w:tcW w:w="0" w:type="auto"/>
          </w:tcPr>
          <w:p w14:paraId="164CDF79" w14:textId="77777777" w:rsidR="006B1FD8" w:rsidRDefault="00923264">
            <w:pPr>
              <w:pStyle w:val="Compact"/>
              <w:jc w:val="right"/>
            </w:pPr>
            <w:r>
              <w:t>20 x</w:t>
            </w:r>
          </w:p>
        </w:tc>
      </w:tr>
      <w:tr w:rsidR="006B1FD8" w14:paraId="4ED41CD2" w14:textId="77777777">
        <w:tc>
          <w:tcPr>
            <w:tcW w:w="0" w:type="auto"/>
          </w:tcPr>
          <w:p w14:paraId="3028C6C0" w14:textId="77777777" w:rsidR="006B1FD8" w:rsidRDefault="00923264">
            <w:pPr>
              <w:pStyle w:val="Compact"/>
            </w:pPr>
            <w:r>
              <w:t>Segmentation</w:t>
            </w:r>
          </w:p>
        </w:tc>
        <w:tc>
          <w:tcPr>
            <w:tcW w:w="0" w:type="auto"/>
          </w:tcPr>
          <w:p w14:paraId="275D8F8A" w14:textId="77777777" w:rsidR="006B1FD8" w:rsidRDefault="00923264">
            <w:pPr>
              <w:pStyle w:val="Compact"/>
              <w:jc w:val="right"/>
            </w:pPr>
            <w:r>
              <w:t>10–15 minutes</w:t>
            </w:r>
          </w:p>
        </w:tc>
        <w:tc>
          <w:tcPr>
            <w:tcW w:w="0" w:type="auto"/>
          </w:tcPr>
          <w:p w14:paraId="4B58682A" w14:textId="77777777" w:rsidR="006B1FD8" w:rsidRDefault="00923264">
            <w:pPr>
              <w:pStyle w:val="Compact"/>
              <w:jc w:val="right"/>
            </w:pPr>
            <w:r>
              <w:t>15 seconds</w:t>
            </w:r>
          </w:p>
        </w:tc>
        <w:tc>
          <w:tcPr>
            <w:tcW w:w="0" w:type="auto"/>
          </w:tcPr>
          <w:p w14:paraId="19A0F498" w14:textId="77777777" w:rsidR="006B1FD8" w:rsidRDefault="00923264">
            <w:pPr>
              <w:pStyle w:val="Compact"/>
              <w:jc w:val="right"/>
            </w:pPr>
            <w:r>
              <w:t>~60 x</w:t>
            </w:r>
          </w:p>
        </w:tc>
      </w:tr>
    </w:tbl>
    <w:bookmarkEnd w:id="26"/>
    <w:p w14:paraId="3A628792" w14:textId="1557AFE5" w:rsidR="006B1FD8" w:rsidRDefault="00923264">
      <w:pPr>
        <w:pStyle w:val="BodyText"/>
      </w:pPr>
      <w:r>
        <w:t xml:space="preserve">Note that the automated extraction process writes intermediate files during the extraction process which facilitate the handling of the data (this process takes about 3 minutes per scan). These files are technically not necessary for the process, but we still accounted for the time spent to write them. In addition, human-readable log files documenting the cropping position in the encompassing dataset and the crop extent, as well as images for double-checking the </w:t>
      </w:r>
      <w:r>
        <w:lastRenderedPageBreak/>
        <w:t xml:space="preserve">process are written to disk, which the manual process does not provide reproducibly. This enables reproducible double-checking and confirmation of the process after the fact (see this </w:t>
      </w:r>
      <w:hyperlink r:id="rId33">
        <w:r>
          <w:rPr>
            <w:rStyle w:val="Hyperlink"/>
          </w:rPr>
          <w:t>direct link for one such log file</w:t>
        </w:r>
      </w:hyperlink>
      <w:r>
        <w:t xml:space="preserve"> </w:t>
      </w:r>
      <w:r w:rsidR="004F680B">
        <w:t xml:space="preserve">[ANONYMIZED LINK] </w:t>
      </w:r>
      <w:r>
        <w:t xml:space="preserve">and </w:t>
      </w:r>
      <w:hyperlink r:id="rId34">
        <w:r>
          <w:rPr>
            <w:rStyle w:val="Hyperlink"/>
          </w:rPr>
          <w:t>one such image</w:t>
        </w:r>
      </w:hyperlink>
      <w:r w:rsidR="004F680B">
        <w:t xml:space="preserve"> [ANONYMIZED LINK]</w:t>
      </w:r>
      <w:r>
        <w:t>).</w:t>
      </w:r>
    </w:p>
    <w:p w14:paraId="70F7B95D" w14:textId="77777777" w:rsidR="006B1FD8" w:rsidRDefault="00923264">
      <w:pPr>
        <w:pStyle w:val="BodyText"/>
      </w:pPr>
      <w:r>
        <w:t xml:space="preserve">The extraction and sampling process led to a total of ~64 GB of </w:t>
      </w:r>
      <w:r>
        <w:rPr>
          <w:rStyle w:val="VerbatimChar"/>
        </w:rPr>
        <w:t>nrrd</w:t>
      </w:r>
      <w:r>
        <w:t xml:space="preserve"> files, which were assessed as specified before.</w:t>
      </w:r>
    </w:p>
    <w:p w14:paraId="6A8F1001" w14:textId="77777777" w:rsidR="006B1FD8" w:rsidRDefault="00923264">
      <w:pPr>
        <w:pStyle w:val="Heading3"/>
      </w:pPr>
      <w:bookmarkStart w:id="27" w:name="thresholding"/>
      <w:bookmarkEnd w:id="25"/>
      <w:r>
        <w:t>Thresholding</w:t>
      </w:r>
    </w:p>
    <w:p w14:paraId="0D65F3DF" w14:textId="77777777" w:rsidR="006B1FD8" w:rsidRDefault="00923264">
      <w:pPr>
        <w:pStyle w:val="FirstParagraph"/>
      </w:pPr>
      <w:r>
        <w:t xml:space="preserve">The separated fish were segmented based on a simple multi-level Otsu thresholding method. This relatively simple segmentation was sufficient to extract all the features we analyzed further, and we did not have to employ more advanced thresholding methods in our separation pipeline. Selection and individual rendering of the branchial structures </w:t>
      </w:r>
      <w:proofErr w:type="gramStart"/>
      <w:r>
        <w:t>takes</w:t>
      </w:r>
      <w:proofErr w:type="gramEnd"/>
      <w:r>
        <w:t xml:space="preserve"> between 10-15 minutes; the segmentation of an average Biomedisa render takes 15 seconds once trained (see Table </w:t>
      </w:r>
      <w:hyperlink w:anchor="tbl:timing">
        <w:r>
          <w:rPr>
            <w:rStyle w:val="Hyperlink"/>
          </w:rPr>
          <w:t>1</w:t>
        </w:r>
      </w:hyperlink>
      <w:r>
        <w:t>).</w:t>
      </w:r>
    </w:p>
    <w:p w14:paraId="1B496F02" w14:textId="77777777" w:rsidR="006B1FD8" w:rsidRDefault="00923264">
      <w:pPr>
        <w:pStyle w:val="Heading3"/>
      </w:pPr>
      <w:bookmarkStart w:id="28" w:name="analysis"/>
      <w:bookmarkEnd w:id="27"/>
      <w:r>
        <w:t>Analysis</w:t>
      </w:r>
    </w:p>
    <w:p w14:paraId="6B344DA8" w14:textId="77777777" w:rsidR="006B1FD8" w:rsidRDefault="00923264">
      <w:pPr>
        <w:pStyle w:val="FirstParagraph"/>
      </w:pPr>
      <w:r>
        <w:t>The speed and quality of these data allow us to study the internal branchial anatomy at scale and in situ, without the need for fine dissection.</w:t>
      </w:r>
    </w:p>
    <w:p w14:paraId="50940D22" w14:textId="77777777" w:rsidR="006B1FD8" w:rsidRDefault="00923264">
      <w:pPr>
        <w:pStyle w:val="BodyText"/>
      </w:pPr>
      <w:r>
        <w:t xml:space="preserve">After GPA alignment, we quantified the shape differences among all scanned fish for this project. Changes due to allometry (using the metric of centroid size or standard length of the fish) were significant but slight, explaining only a small fraction of shape variation (CB1: p = 0.001,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0.03246; CB2: p = 0.001,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0.06220) in both bones. Both linear models and PCA results suggest that the lakes themselves—and not overarching categories of ecotype or sex—drive most of the shape variation in these bones (CB1: p = 0.001,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0.09463; CB2: p = 0.001,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0.11039). Nonetheless, variation in the first ceratobranchial was significantly associated </w:t>
      </w:r>
      <w:r>
        <w:lastRenderedPageBreak/>
        <w:t xml:space="preserve">with differing ecotypes, although the effect size was small (p = 0.009,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0.02056), with a substantial overlap in the resulting shape space (see Figure </w:t>
      </w:r>
      <w:hyperlink w:anchor="fig:pca_cb1">
        <w:r>
          <w:rPr>
            <w:rStyle w:val="Hyperlink"/>
          </w:rPr>
          <w:t>10</w:t>
        </w:r>
      </w:hyperlink>
      <w:r>
        <w:t>).</w:t>
      </w:r>
    </w:p>
    <w:p w14:paraId="5AC8A8CB" w14:textId="77777777" w:rsidR="006B1FD8" w:rsidRDefault="00923264">
      <w:pPr>
        <w:pStyle w:val="CaptionedFigure"/>
      </w:pPr>
      <w:bookmarkStart w:id="29" w:name="fig:pca_cb1"/>
      <w:r>
        <w:rPr>
          <w:noProof/>
        </w:rPr>
        <w:drawing>
          <wp:inline distT="0" distB="0" distL="0" distR="0" wp14:anchorId="4925DA18" wp14:editId="4C2CABAD">
            <wp:extent cx="5943600" cy="4245428"/>
            <wp:effectExtent l="0" t="0" r="0" b="0"/>
            <wp:docPr id="149" name="Picture" descr="Figure 10: PCA of CB1 colored by lake ecotype. Warps are indicated at the extremes of each axis by vectors drawn from a mean shape (red)."/>
            <wp:cNvGraphicFramePr/>
            <a:graphic xmlns:a="http://schemas.openxmlformats.org/drawingml/2006/main">
              <a:graphicData uri="http://schemas.openxmlformats.org/drawingml/2006/picture">
                <pic:pic xmlns:pic="http://schemas.openxmlformats.org/drawingml/2006/picture">
                  <pic:nvPicPr>
                    <pic:cNvPr id="150" name="Picture" descr="images/PCA_CB1_Plot.png"/>
                    <pic:cNvPicPr>
                      <a:picLocks noChangeAspect="1" noChangeArrowheads="1"/>
                    </pic:cNvPicPr>
                  </pic:nvPicPr>
                  <pic:blipFill>
                    <a:blip r:embed="rId35"/>
                    <a:stretch>
                      <a:fillRect/>
                    </a:stretch>
                  </pic:blipFill>
                  <pic:spPr bwMode="auto">
                    <a:xfrm>
                      <a:off x="0" y="0"/>
                      <a:ext cx="5943600" cy="4245428"/>
                    </a:xfrm>
                    <a:prstGeom prst="rect">
                      <a:avLst/>
                    </a:prstGeom>
                    <a:noFill/>
                    <a:ln w="9525">
                      <a:noFill/>
                      <a:headEnd/>
                      <a:tailEnd/>
                    </a:ln>
                  </pic:spPr>
                </pic:pic>
              </a:graphicData>
            </a:graphic>
          </wp:inline>
        </w:drawing>
      </w:r>
    </w:p>
    <w:p w14:paraId="5F004C9C" w14:textId="77777777" w:rsidR="006B1FD8" w:rsidRDefault="00923264">
      <w:pPr>
        <w:pStyle w:val="ImageCaption"/>
      </w:pPr>
      <w:r>
        <w:t>Figure 10: PCA of CB1 colored by lake ecotype. Warps are indicated at the extremes of each axis by vectors drawn from a mean shape (red).</w:t>
      </w:r>
    </w:p>
    <w:bookmarkEnd w:id="29"/>
    <w:p w14:paraId="2987E6D9" w14:textId="77777777" w:rsidR="006B1FD8" w:rsidRDefault="00923264">
      <w:pPr>
        <w:pStyle w:val="BodyText"/>
      </w:pPr>
      <w:r>
        <w:t xml:space="preserve">The second ceratobranchial bone, on the other hand, shows equally small yet significant shifts associated with the ecotype (p = 0.001,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0.0377). The differences between benthic and limnetic specimens are, for this bone, clearly divergent in shape space (see Figure </w:t>
      </w:r>
      <w:hyperlink w:anchor="fig:pca_cb2">
        <w:r>
          <w:rPr>
            <w:rStyle w:val="Hyperlink"/>
          </w:rPr>
          <w:t>11</w:t>
        </w:r>
      </w:hyperlink>
      <w:r>
        <w:t>).</w:t>
      </w:r>
    </w:p>
    <w:p w14:paraId="5DAFD511" w14:textId="77777777" w:rsidR="006B1FD8" w:rsidRDefault="00923264">
      <w:pPr>
        <w:pStyle w:val="CaptionedFigure"/>
      </w:pPr>
      <w:bookmarkStart w:id="30" w:name="fig:pca_cb2"/>
      <w:r>
        <w:rPr>
          <w:noProof/>
        </w:rPr>
        <w:lastRenderedPageBreak/>
        <w:drawing>
          <wp:inline distT="0" distB="0" distL="0" distR="0" wp14:anchorId="68C2E755" wp14:editId="18319FC4">
            <wp:extent cx="5943600" cy="4245428"/>
            <wp:effectExtent l="0" t="0" r="0" b="0"/>
            <wp:docPr id="153" name="Picture" descr="Figure 11: PCA of CB2 colored by lake ecotype. Warps are indicated at the extremes of each axis by vectors drawn from a mean shape (red)."/>
            <wp:cNvGraphicFramePr/>
            <a:graphic xmlns:a="http://schemas.openxmlformats.org/drawingml/2006/main">
              <a:graphicData uri="http://schemas.openxmlformats.org/drawingml/2006/picture">
                <pic:pic xmlns:pic="http://schemas.openxmlformats.org/drawingml/2006/picture">
                  <pic:nvPicPr>
                    <pic:cNvPr id="154" name="Picture" descr="images/PCA_CB2_Plot.png"/>
                    <pic:cNvPicPr>
                      <a:picLocks noChangeAspect="1" noChangeArrowheads="1"/>
                    </pic:cNvPicPr>
                  </pic:nvPicPr>
                  <pic:blipFill>
                    <a:blip r:embed="rId36"/>
                    <a:stretch>
                      <a:fillRect/>
                    </a:stretch>
                  </pic:blipFill>
                  <pic:spPr bwMode="auto">
                    <a:xfrm>
                      <a:off x="0" y="0"/>
                      <a:ext cx="5943600" cy="4245428"/>
                    </a:xfrm>
                    <a:prstGeom prst="rect">
                      <a:avLst/>
                    </a:prstGeom>
                    <a:noFill/>
                    <a:ln w="9525">
                      <a:noFill/>
                      <a:headEnd/>
                      <a:tailEnd/>
                    </a:ln>
                  </pic:spPr>
                </pic:pic>
              </a:graphicData>
            </a:graphic>
          </wp:inline>
        </w:drawing>
      </w:r>
    </w:p>
    <w:p w14:paraId="3D8DDCE5" w14:textId="77777777" w:rsidR="006B1FD8" w:rsidRDefault="00923264">
      <w:pPr>
        <w:pStyle w:val="ImageCaption"/>
      </w:pPr>
      <w:r>
        <w:t>Figure 11: PCA of CB2 colored by lake ecotype. Warps are indicated at the extremes of each axis by vectors drawn from a mean shape (red).</w:t>
      </w:r>
    </w:p>
    <w:bookmarkEnd w:id="30"/>
    <w:p w14:paraId="0660105E" w14:textId="77777777" w:rsidR="006B1FD8" w:rsidRDefault="00923264">
      <w:pPr>
        <w:pStyle w:val="BodyText"/>
      </w:pPr>
      <w:r>
        <w:t xml:space="preserve">These ecological patterns were further examined at the level of individual lakes (see Figures </w:t>
      </w:r>
      <w:hyperlink w:anchor="fig:pca_cb1_lake">
        <w:r>
          <w:rPr>
            <w:rStyle w:val="Hyperlink"/>
          </w:rPr>
          <w:t>12</w:t>
        </w:r>
      </w:hyperlink>
      <w:r>
        <w:t xml:space="preserve"> and </w:t>
      </w:r>
      <w:hyperlink w:anchor="fig:pca_cb2_lake">
        <w:r>
          <w:rPr>
            <w:rStyle w:val="Hyperlink"/>
          </w:rPr>
          <w:t>13</w:t>
        </w:r>
      </w:hyperlink>
      <w:r>
        <w:t>).</w:t>
      </w:r>
    </w:p>
    <w:p w14:paraId="2E608B17" w14:textId="77777777" w:rsidR="006B1FD8" w:rsidRDefault="00923264">
      <w:pPr>
        <w:pStyle w:val="CaptionedFigure"/>
      </w:pPr>
      <w:bookmarkStart w:id="31" w:name="fig:pca_cb1_lake"/>
      <w:r>
        <w:rPr>
          <w:noProof/>
        </w:rPr>
        <w:lastRenderedPageBreak/>
        <w:drawing>
          <wp:inline distT="0" distB="0" distL="0" distR="0" wp14:anchorId="42CAEDA8" wp14:editId="7E0C1C7F">
            <wp:extent cx="5943600" cy="4245428"/>
            <wp:effectExtent l="0" t="0" r="0" b="0"/>
            <wp:docPr id="157" name="Picture" descr="Figure 12: PCA of CB1 colored by individual lake. Benthic lakes are indicated in shades of red and orange, while limnetic lakes are indicated in shades of blue. Warps are indicated at the extremes of each axis by vectors drawn from a mean shape (red)."/>
            <wp:cNvGraphicFramePr/>
            <a:graphic xmlns:a="http://schemas.openxmlformats.org/drawingml/2006/main">
              <a:graphicData uri="http://schemas.openxmlformats.org/drawingml/2006/picture">
                <pic:pic xmlns:pic="http://schemas.openxmlformats.org/drawingml/2006/picture">
                  <pic:nvPicPr>
                    <pic:cNvPr id="158" name="Picture" descr="images/PCA_CB1_Plot_Lake.png"/>
                    <pic:cNvPicPr>
                      <a:picLocks noChangeAspect="1" noChangeArrowheads="1"/>
                    </pic:cNvPicPr>
                  </pic:nvPicPr>
                  <pic:blipFill>
                    <a:blip r:embed="rId37"/>
                    <a:stretch>
                      <a:fillRect/>
                    </a:stretch>
                  </pic:blipFill>
                  <pic:spPr bwMode="auto">
                    <a:xfrm>
                      <a:off x="0" y="0"/>
                      <a:ext cx="5943600" cy="4245428"/>
                    </a:xfrm>
                    <a:prstGeom prst="rect">
                      <a:avLst/>
                    </a:prstGeom>
                    <a:noFill/>
                    <a:ln w="9525">
                      <a:noFill/>
                      <a:headEnd/>
                      <a:tailEnd/>
                    </a:ln>
                  </pic:spPr>
                </pic:pic>
              </a:graphicData>
            </a:graphic>
          </wp:inline>
        </w:drawing>
      </w:r>
    </w:p>
    <w:p w14:paraId="48C4B9E3" w14:textId="77777777" w:rsidR="006B1FD8" w:rsidRDefault="00923264">
      <w:pPr>
        <w:pStyle w:val="ImageCaption"/>
      </w:pPr>
      <w:r>
        <w:t>Figure 12: PCA of CB1 colored by individual lake. Benthic lakes are indicated in shades of red and orange, while limnetic lakes are indicated in shades of blue. Warps are indicated at the extremes of each axis by vectors drawn from a mean shape (red).</w:t>
      </w:r>
    </w:p>
    <w:p w14:paraId="3E1C0CB6" w14:textId="77777777" w:rsidR="006B1FD8" w:rsidRDefault="00923264">
      <w:pPr>
        <w:pStyle w:val="CaptionedFigure"/>
      </w:pPr>
      <w:bookmarkStart w:id="32" w:name="fig:pca_cb2_lake"/>
      <w:bookmarkEnd w:id="31"/>
      <w:r>
        <w:rPr>
          <w:noProof/>
        </w:rPr>
        <w:lastRenderedPageBreak/>
        <w:drawing>
          <wp:inline distT="0" distB="0" distL="0" distR="0" wp14:anchorId="31AE2581" wp14:editId="00E198F7">
            <wp:extent cx="5943600" cy="4245428"/>
            <wp:effectExtent l="0" t="0" r="0" b="0"/>
            <wp:docPr id="161" name="Picture" descr="Figure 13: PCA of CB2 colored by individual lake. Benthic lakes are indicated in shades of red and orange, while limnetic lakes are indicated in shades of blue. Warps are indicated at the extremes of each axis by vectors drawn from a mean shape (red)."/>
            <wp:cNvGraphicFramePr/>
            <a:graphic xmlns:a="http://schemas.openxmlformats.org/drawingml/2006/main">
              <a:graphicData uri="http://schemas.openxmlformats.org/drawingml/2006/picture">
                <pic:pic xmlns:pic="http://schemas.openxmlformats.org/drawingml/2006/picture">
                  <pic:nvPicPr>
                    <pic:cNvPr id="162" name="Picture" descr="images/PCA_CB2_Plot_Lake.png"/>
                    <pic:cNvPicPr>
                      <a:picLocks noChangeAspect="1" noChangeArrowheads="1"/>
                    </pic:cNvPicPr>
                  </pic:nvPicPr>
                  <pic:blipFill>
                    <a:blip r:embed="rId38"/>
                    <a:stretch>
                      <a:fillRect/>
                    </a:stretch>
                  </pic:blipFill>
                  <pic:spPr bwMode="auto">
                    <a:xfrm>
                      <a:off x="0" y="0"/>
                      <a:ext cx="5943600" cy="4245428"/>
                    </a:xfrm>
                    <a:prstGeom prst="rect">
                      <a:avLst/>
                    </a:prstGeom>
                    <a:noFill/>
                    <a:ln w="9525">
                      <a:noFill/>
                      <a:headEnd/>
                      <a:tailEnd/>
                    </a:ln>
                  </pic:spPr>
                </pic:pic>
              </a:graphicData>
            </a:graphic>
          </wp:inline>
        </w:drawing>
      </w:r>
    </w:p>
    <w:p w14:paraId="55207463" w14:textId="77777777" w:rsidR="006B1FD8" w:rsidRDefault="00923264">
      <w:pPr>
        <w:pStyle w:val="ImageCaption"/>
      </w:pPr>
      <w:r>
        <w:t>Figure 13: PCA of CB2 colored by individual lake. Benthic lakes are indicated in shades of red and orange, while limnetic lakes are indicated in shades of blue. Warps are indicated at the extremes of each axis by vectors drawn from a mean shape (red).</w:t>
      </w:r>
    </w:p>
    <w:bookmarkEnd w:id="32"/>
    <w:p w14:paraId="3EB2DB72" w14:textId="1E690DF4" w:rsidR="00FC555B" w:rsidRPr="00FF13D0" w:rsidRDefault="00923264" w:rsidP="00FF13D0">
      <w:pPr>
        <w:pStyle w:val="BodyText"/>
      </w:pPr>
      <w:r>
        <w:t xml:space="preserve">The differences in the second ceratobranchial appear to be driven by divergence in the South Rolly population, supported by significant pairwise differences observed between this lake and all other lakes observed in CB2 and not in CB1 (see </w:t>
      </w:r>
      <w:r w:rsidRPr="001450A6">
        <w:t>Supplementary Materials</w:t>
      </w:r>
      <w:r>
        <w:t>).</w:t>
      </w:r>
      <w:bookmarkStart w:id="33" w:name="discussion"/>
      <w:bookmarkEnd w:id="23"/>
      <w:bookmarkEnd w:id="28"/>
      <w:r w:rsidR="00FC555B">
        <w:br w:type="page"/>
      </w:r>
    </w:p>
    <w:p w14:paraId="6ADCFA47" w14:textId="6EB8B2DE" w:rsidR="006B1FD8" w:rsidRDefault="00923264">
      <w:pPr>
        <w:pStyle w:val="Heading2"/>
      </w:pPr>
      <w:r>
        <w:lastRenderedPageBreak/>
        <w:t>Discussion</w:t>
      </w:r>
    </w:p>
    <w:p w14:paraId="3A7A6AE8" w14:textId="77777777" w:rsidR="006B1FD8" w:rsidRDefault="00923264">
      <w:pPr>
        <w:pStyle w:val="Heading3"/>
      </w:pPr>
      <w:bookmarkStart w:id="34" w:name="pipeline-and-efficiency"/>
      <w:r>
        <w:t>Pipeline and efficiency</w:t>
      </w:r>
    </w:p>
    <w:p w14:paraId="05641C87" w14:textId="77777777" w:rsidR="006B1FD8" w:rsidRDefault="00923264">
      <w:pPr>
        <w:pStyle w:val="FirstParagraph"/>
      </w:pPr>
      <w:r>
        <w:t>Once all components of the pipeline are combined, running a simple script enables automatic reconstruction, thresholding, and segmentation of stickleback specimens. All automated pipeline steps are substantially faster than equivalent manual processing by an expert operator, with minimal active user input. This reproducible pipeline allows for high-throughput sampling and population-scale analysis of stickleback specimens.</w:t>
      </w:r>
    </w:p>
    <w:p w14:paraId="6CA71D24" w14:textId="77777777" w:rsidR="006B1FD8" w:rsidRDefault="00923264">
      <w:pPr>
        <w:pStyle w:val="BodyText"/>
      </w:pPr>
      <w:r>
        <w:t xml:space="preserve">The imaging and separation step is easy to generalize to either other micro-CT setups or other species/specimens. </w:t>
      </w:r>
      <w:proofErr w:type="gramStart"/>
      <w:r>
        <w:t>As long as</w:t>
      </w:r>
      <w:proofErr w:type="gramEnd"/>
      <w:r>
        <w:t xml:space="preserve"> the specimens show up as distinct blobs in the MIP (see Figure </w:t>
      </w:r>
      <w:hyperlink w:anchor="fig:labels">
        <w:r>
          <w:rPr>
            <w:rStyle w:val="Hyperlink"/>
          </w:rPr>
          <w:t>4</w:t>
        </w:r>
      </w:hyperlink>
      <w:r>
        <w:t>) our pipeline can reproducibly separate these blobs into a cropped dataset for any further processing, enabling a general, reproducible and high-throughput micro-CT workflow in biology and many other fields.</w:t>
      </w:r>
    </w:p>
    <w:p w14:paraId="6215CD76" w14:textId="77777777" w:rsidR="006B1FD8" w:rsidRDefault="00923264">
      <w:pPr>
        <w:pStyle w:val="Heading3"/>
      </w:pPr>
      <w:bookmarkStart w:id="35" w:name="findings-from-ceratobranchial-analysis"/>
      <w:bookmarkEnd w:id="34"/>
      <w:r>
        <w:t>Findings from Ceratobranchial Analysis</w:t>
      </w:r>
    </w:p>
    <w:p w14:paraId="79780A8B" w14:textId="77777777" w:rsidR="006B1FD8" w:rsidRDefault="00923264">
      <w:pPr>
        <w:pStyle w:val="FirstParagraph"/>
      </w:pPr>
      <w:r>
        <w:t>The first and second ceratobranchials differ remarkably in morphology, size, and breadth, suggesting that these structures may respond differently to shifts in diet—even within the same feeding apparatus. CB1 showed statistically significant differences between benthic and limnetic ecotypes based on linear and pairwise analyses (and PC4, accounting for 4.33% of the variation, appears to capture these differences; see supplementary figures). However, we caution that the greater number of benthic lakes and specimens available for this study may contribute to these patterns, as the two groups (benthic and limnetic) exhibit statistically different variances. This pipeline will allow for more extensive analysis from future sampling years to confirm these findings.</w:t>
      </w:r>
    </w:p>
    <w:p w14:paraId="0D397F2B" w14:textId="77777777" w:rsidR="006B1FD8" w:rsidRDefault="00923264">
      <w:pPr>
        <w:pStyle w:val="BodyText"/>
      </w:pPr>
      <w:r>
        <w:lastRenderedPageBreak/>
        <w:t>Within CB2, limnetic fish (and particularly those from South Rolly Lake) appear to have narrower, less keeled bones than benthic fish. The muscles that attach to the ceratobranchials (</w:t>
      </w:r>
      <w:r>
        <w:rPr>
          <w:i/>
          <w:iCs/>
        </w:rPr>
        <w:t>m. adductor branchialis</w:t>
      </w:r>
      <w:r>
        <w:t xml:space="preserve">, </w:t>
      </w:r>
      <w:r>
        <w:rPr>
          <w:i/>
          <w:iCs/>
        </w:rPr>
        <w:t>m. abductor filament</w:t>
      </w:r>
      <w:r>
        <w:t xml:space="preserve">, and </w:t>
      </w:r>
      <w:r>
        <w:rPr>
          <w:i/>
          <w:iCs/>
        </w:rPr>
        <w:t>m. obliquus ventralis</w:t>
      </w:r>
      <w:r>
        <w:t>) are attached along the lateral surfaces of these bones. The increased surface area observed in benthic fish may provide greater area for muscle attachment, which may enhance the ability of fish to abduct these structures during water filtration (</w:t>
      </w:r>
      <w:hyperlink w:anchor="ref-v1hRNLF5">
        <w:r>
          <w:rPr>
            <w:rStyle w:val="Hyperlink"/>
          </w:rPr>
          <w:t>Takata &amp; Sasaki, 2005</w:t>
        </w:r>
      </w:hyperlink>
      <w:r>
        <w:t xml:space="preserve">; </w:t>
      </w:r>
      <w:hyperlink w:anchor="ref-EWbJLKbO">
        <w:r>
          <w:rPr>
            <w:rStyle w:val="Hyperlink"/>
          </w:rPr>
          <w:t>Vandewalle et al., 2000</w:t>
        </w:r>
      </w:hyperlink>
      <w:r>
        <w:t xml:space="preserve">). While dietary analyses of these fish are still ongoing, these findings suggest that the South Rolly population may have unique dietary specializations and would be expected to feed differently than fish from the other lakes in this study. In terms of reintroduction, populations from this lake might be expected to fare better than others in terms of limnetic specialization. Indeed, fish with South Rolly heritage outperform </w:t>
      </w:r>
      <w:proofErr w:type="gramStart"/>
      <w:r>
        <w:t>Spirit lake</w:t>
      </w:r>
      <w:proofErr w:type="gramEnd"/>
      <w:r>
        <w:t xml:space="preserve"> fish in every transplant experiment in which both limnetic populations are included as a part of the FITNESS project (</w:t>
      </w:r>
      <w:hyperlink w:anchor="ref-11i8vzpUp">
        <w:r>
          <w:rPr>
            <w:rStyle w:val="Hyperlink"/>
          </w:rPr>
          <w:t>Eckert et al., 2026</w:t>
        </w:r>
      </w:hyperlink>
      <w:r>
        <w:t>).</w:t>
      </w:r>
    </w:p>
    <w:p w14:paraId="71D05415" w14:textId="77777777" w:rsidR="006B1FD8" w:rsidRDefault="00923264">
      <w:pPr>
        <w:pStyle w:val="BodyText"/>
      </w:pPr>
      <w:r>
        <w:t>The different response of the first and second ceratobranchial raises the possibility of a modular response to dietary shifts within the branchial basket. Studies treating the branchial basket as a single structure, focusing only on the first ceratobranchial, or investigating only external morphology might potentially miss significant changes in shape and size of these structures—and this pipeline provides a wealth of data with which to perform a follow-up study.</w:t>
      </w:r>
    </w:p>
    <w:p w14:paraId="6036A40F" w14:textId="77777777" w:rsidR="006B1FD8" w:rsidRDefault="00923264">
      <w:pPr>
        <w:pStyle w:val="Heading3"/>
      </w:pPr>
      <w:bookmarkStart w:id="36" w:name="future-improvements-and-issues"/>
      <w:bookmarkEnd w:id="35"/>
      <w:r>
        <w:t>Future improvements and issues</w:t>
      </w:r>
    </w:p>
    <w:p w14:paraId="1011E65C" w14:textId="1983A9B8" w:rsidR="00FC555B" w:rsidRPr="00FF13D0" w:rsidRDefault="00923264" w:rsidP="00FF13D0">
      <w:pPr>
        <w:pStyle w:val="FirstParagraph"/>
      </w:pPr>
      <w:r>
        <w:t>As with many multi-specimen scanning projects, the scanning parameters can be optimized individually for each scan but not for each individual specimen. In addition, atypically large or dense specimens cause an issue for the holder and the reproducibility across scans. As with most machine learning frameworks, the training dataset must encompass the full range of anatomical variation to prevent segmentation errors.</w:t>
      </w:r>
      <w:bookmarkStart w:id="37" w:name="conclusion"/>
      <w:bookmarkEnd w:id="33"/>
      <w:bookmarkEnd w:id="36"/>
      <w:r w:rsidR="00FC555B">
        <w:br w:type="page"/>
      </w:r>
    </w:p>
    <w:p w14:paraId="6FE50C45" w14:textId="6E99745C" w:rsidR="006B1FD8" w:rsidRDefault="00923264">
      <w:pPr>
        <w:pStyle w:val="Heading2"/>
      </w:pPr>
      <w:r>
        <w:lastRenderedPageBreak/>
        <w:t>Conclusion</w:t>
      </w:r>
    </w:p>
    <w:p w14:paraId="4114A8EE" w14:textId="77777777" w:rsidR="006B1FD8" w:rsidRDefault="00923264">
      <w:pPr>
        <w:pStyle w:val="FirstParagraph"/>
      </w:pPr>
      <w:r>
        <w:t>The provided pipeline enables repeatable, high-throughput analysis of 3D shape in stickleback specimens. Although applied here to stickleback specimens, the described methods can readily be applied to large-scale sampling efforts of multiple taxonomic groups, with data acquired on many different micro-CT machines and different sample holders, due to the use of simple region detection and reproducible logging. Extracting individual specimens from multi-specimen scans is efficient; a custom 3D-printed holder and automated splitting pipeline minimize operator time and maximize throughput.</w:t>
      </w:r>
    </w:p>
    <w:p w14:paraId="50A181A9" w14:textId="77777777" w:rsidR="006B1FD8" w:rsidRDefault="00923264">
      <w:pPr>
        <w:pStyle w:val="BodyText"/>
      </w:pPr>
      <w:r>
        <w:t>The reproducible scans and their consistent quality rapidly provide a large amount of similar data ideal for training machine learning models. In its current implementation, Biomedisa performs on average 60 times faster than manual segmentation by a skilled operator, and without the inter-operator variability inherent to manually segmenting large numbers of specimens. This brings virtual, non-destructive dissection of internal stickleback anatomy up to parity with hand-dissected methods, if not further.</w:t>
      </w:r>
    </w:p>
    <w:p w14:paraId="0E015F90" w14:textId="1AB9AF20" w:rsidR="00FF13D0" w:rsidRDefault="00923264" w:rsidP="00FF13D0">
      <w:pPr>
        <w:pStyle w:val="BodyText"/>
      </w:pPr>
      <w:r>
        <w:t>Finally, the 3D analysis step of the pipeline allows for insights from 3D data that cannot be obtained from traditional dissection, including complex shapes and arrangements not possible through destructive sampling approaches.</w:t>
      </w:r>
      <w:bookmarkStart w:id="38" w:name="author-contributions"/>
      <w:bookmarkEnd w:id="37"/>
      <w:r w:rsidR="00FF13D0">
        <w:br w:type="page"/>
      </w:r>
    </w:p>
    <w:p w14:paraId="6CA4D1DB" w14:textId="1FAE4FD7" w:rsidR="006B1FD8" w:rsidRDefault="00923264">
      <w:pPr>
        <w:pStyle w:val="Heading2"/>
      </w:pPr>
      <w:r>
        <w:lastRenderedPageBreak/>
        <w:t>Author Contributions</w:t>
      </w:r>
    </w:p>
    <w:p w14:paraId="5030D0B9" w14:textId="5C649F7B" w:rsidR="00FC555B" w:rsidRDefault="00FC555B">
      <w:pPr>
        <w:pStyle w:val="Heading2"/>
        <w:rPr>
          <w:rFonts w:eastAsiaTheme="minorHAnsi" w:cstheme="minorBidi"/>
          <w:b w:val="0"/>
          <w:bCs w:val="0"/>
          <w:sz w:val="22"/>
          <w:szCs w:val="22"/>
        </w:rPr>
      </w:pPr>
      <w:bookmarkStart w:id="39" w:name="competing-interests"/>
      <w:bookmarkEnd w:id="38"/>
      <w:r w:rsidRPr="00FC555B">
        <w:rPr>
          <w:rFonts w:eastAsiaTheme="minorHAnsi" w:cstheme="minorBidi"/>
          <w:b w:val="0"/>
          <w:bCs w:val="0"/>
          <w:sz w:val="22"/>
          <w:szCs w:val="22"/>
        </w:rPr>
        <w:t>Acknowledgements removed</w:t>
      </w:r>
      <w:r>
        <w:rPr>
          <w:rFonts w:eastAsiaTheme="minorHAnsi" w:cstheme="minorBidi"/>
          <w:b w:val="0"/>
          <w:bCs w:val="0"/>
          <w:sz w:val="22"/>
          <w:szCs w:val="22"/>
        </w:rPr>
        <w:t xml:space="preserve"> for anonymization.</w:t>
      </w:r>
    </w:p>
    <w:p w14:paraId="549A62ED" w14:textId="4A2D8AC0" w:rsidR="006B1FD8" w:rsidRDefault="00923264">
      <w:pPr>
        <w:pStyle w:val="Heading2"/>
      </w:pPr>
      <w:r>
        <w:t>Competing Interests</w:t>
      </w:r>
    </w:p>
    <w:p w14:paraId="74843DCA" w14:textId="35175D57" w:rsidR="00FC555B" w:rsidRPr="00FC555B" w:rsidRDefault="00FC555B" w:rsidP="00FC555B">
      <w:pPr>
        <w:pStyle w:val="BodyText"/>
      </w:pPr>
      <w:r>
        <w:t>Competing interests removed for anonymization. None reported, though</w:t>
      </w:r>
    </w:p>
    <w:p w14:paraId="29218A66" w14:textId="77777777" w:rsidR="006B1FD8" w:rsidRDefault="00923264">
      <w:pPr>
        <w:pStyle w:val="Heading2"/>
      </w:pPr>
      <w:bookmarkStart w:id="40" w:name="acknowledgments"/>
      <w:bookmarkEnd w:id="39"/>
      <w:r>
        <w:t>Acknowledgments</w:t>
      </w:r>
    </w:p>
    <w:p w14:paraId="06C7244E" w14:textId="151C61C0" w:rsidR="006B1FD8" w:rsidRDefault="00FC555B">
      <w:pPr>
        <w:pStyle w:val="FirstParagraph"/>
      </w:pPr>
      <w:r>
        <w:t>Acknowledgements removed for anonymization</w:t>
      </w:r>
      <w:r w:rsidR="00923264">
        <w:t>.</w:t>
      </w:r>
    </w:p>
    <w:p w14:paraId="04BA5AE7" w14:textId="77777777" w:rsidR="00FF13D0" w:rsidRDefault="00FF13D0">
      <w:pPr>
        <w:rPr>
          <w:rFonts w:eastAsiaTheme="majorEastAsia" w:cstheme="majorBidi"/>
          <w:b/>
          <w:bCs/>
          <w:sz w:val="36"/>
          <w:szCs w:val="28"/>
        </w:rPr>
      </w:pPr>
      <w:bookmarkStart w:id="41" w:name="supplementary-materials"/>
      <w:bookmarkEnd w:id="40"/>
      <w:r>
        <w:br w:type="page"/>
      </w:r>
    </w:p>
    <w:p w14:paraId="20C86F1F" w14:textId="29B7A179" w:rsidR="006B1FD8" w:rsidRDefault="00923264">
      <w:pPr>
        <w:pStyle w:val="Heading2"/>
      </w:pPr>
      <w:r>
        <w:lastRenderedPageBreak/>
        <w:t>Supplementary Materials</w:t>
      </w:r>
    </w:p>
    <w:p w14:paraId="445BC73C" w14:textId="77777777" w:rsidR="006B1FD8" w:rsidRDefault="00923264">
      <w:pPr>
        <w:pStyle w:val="Heading3"/>
      </w:pPr>
      <w:bookmarkStart w:id="42" w:name="Xc0e109dd3c7989800a5bfed6523ca252578305b"/>
      <w:r>
        <w:t>Parameters of tomographic scans of all the fish</w:t>
      </w:r>
    </w:p>
    <w:p w14:paraId="0FF733DF" w14:textId="5A5C65CC" w:rsidR="006B1FD8" w:rsidRDefault="00923264">
      <w:pPr>
        <w:pStyle w:val="FirstParagraph"/>
      </w:pPr>
      <w:r>
        <w:t xml:space="preserve">The CSV file </w:t>
      </w:r>
      <w:r w:rsidR="00FC555B">
        <w:t>[REMOVED LINK FOR ANONYMIZATION]</w:t>
      </w:r>
      <w:r>
        <w:t xml:space="preserve"> gives a tabular overview of all the (relevant) parameters of all the scans we performed. This file was generated with the </w:t>
      </w:r>
      <w:hyperlink r:id="rId39">
        <w:r>
          <w:rPr>
            <w:rStyle w:val="Hyperlink"/>
          </w:rPr>
          <w:t>data processing notebook</w:t>
        </w:r>
      </w:hyperlink>
      <w:r>
        <w:t xml:space="preserve"> </w:t>
      </w:r>
      <w:r w:rsidR="00FC555B">
        <w:t xml:space="preserve">[ANONYMIZED LINK] </w:t>
      </w:r>
      <w:r>
        <w:t xml:space="preserve">and collates the relevant data read from </w:t>
      </w:r>
      <w:r>
        <w:rPr>
          <w:i/>
          <w:iCs/>
        </w:rPr>
        <w:t>all</w:t>
      </w:r>
      <w:r>
        <w:t xml:space="preserve"> the log files of </w:t>
      </w:r>
      <w:r>
        <w:rPr>
          <w:i/>
          <w:iCs/>
        </w:rPr>
        <w:t>all</w:t>
      </w:r>
      <w:r>
        <w:t xml:space="preserve"> the scans we performed for this study. A copy of each log file containing </w:t>
      </w:r>
      <w:r>
        <w:rPr>
          <w:i/>
          <w:iCs/>
        </w:rPr>
        <w:t>all</w:t>
      </w:r>
      <w:r>
        <w:t xml:space="preserve"> scanning parameters is available in a </w:t>
      </w:r>
      <w:hyperlink r:id="rId40">
        <w:r>
          <w:rPr>
            <w:rStyle w:val="Hyperlink"/>
          </w:rPr>
          <w:t>folder in the data processing repository</w:t>
        </w:r>
      </w:hyperlink>
      <w:r>
        <w:t xml:space="preserve"> </w:t>
      </w:r>
      <w:r w:rsidR="00FC555B">
        <w:t xml:space="preserve">[ANONYMIZED LINK] </w:t>
      </w:r>
      <w:r>
        <w:t>of this project.</w:t>
      </w:r>
    </w:p>
    <w:p w14:paraId="198DBB25" w14:textId="77777777" w:rsidR="006B1FD8" w:rsidRDefault="00923264">
      <w:pPr>
        <w:pStyle w:val="Heading3"/>
      </w:pPr>
      <w:bookmarkStart w:id="43" w:name="analysis-scripts"/>
      <w:bookmarkEnd w:id="42"/>
      <w:r>
        <w:t>Analysis scripts</w:t>
      </w:r>
    </w:p>
    <w:p w14:paraId="6D5138B4" w14:textId="77777777" w:rsidR="006B1FD8" w:rsidRDefault="00923264">
      <w:pPr>
        <w:pStyle w:val="Heading4"/>
      </w:pPr>
      <w:bookmarkStart w:id="44" w:name="Xe3ee3c58ea407ebdb39ae13800f95d01cdf6e28"/>
      <w:r>
        <w:t>Jupyter; (pre)processing of tomographic data</w:t>
      </w:r>
    </w:p>
    <w:p w14:paraId="5FF94F6B" w14:textId="6CCC72AD" w:rsidR="006B1FD8" w:rsidRDefault="00923264">
      <w:pPr>
        <w:pStyle w:val="FirstParagraph"/>
      </w:pPr>
      <w:r>
        <w:t xml:space="preserve">All Jupyter scripts to process the acquired tomographic data as described in the text are found </w:t>
      </w:r>
      <w:hyperlink r:id="rId41">
        <w:r>
          <w:rPr>
            <w:rStyle w:val="Hyperlink"/>
          </w:rPr>
          <w:t>online at GitHub</w:t>
        </w:r>
      </w:hyperlink>
      <w:r w:rsidR="00FC555B">
        <w:t xml:space="preserve"> [ANONYMIZED LINK</w:t>
      </w:r>
      <w:proofErr w:type="gramStart"/>
      <w:r w:rsidR="00FC555B">
        <w:t>]</w:t>
      </w:r>
      <w:r>
        <w:t>, and</w:t>
      </w:r>
      <w:proofErr w:type="gramEnd"/>
      <w:r>
        <w:t xml:space="preserve"> can be easily previewed </w:t>
      </w:r>
      <w:r w:rsidRPr="00FC555B">
        <w:t>online</w:t>
      </w:r>
      <w:r w:rsidR="00FC555B">
        <w:t xml:space="preserve"> [REMOVED LINK FOR ANONYMIZATION]</w:t>
      </w:r>
      <w:r>
        <w:t>, too.</w:t>
      </w:r>
    </w:p>
    <w:p w14:paraId="7A68A9CA" w14:textId="77777777" w:rsidR="006B1FD8" w:rsidRDefault="00923264">
      <w:pPr>
        <w:pStyle w:val="Heading4"/>
      </w:pPr>
      <w:bookmarkStart w:id="45" w:name="cropped-tomographic-data"/>
      <w:bookmarkEnd w:id="44"/>
      <w:r>
        <w:t>Cropped tomographic data</w:t>
      </w:r>
    </w:p>
    <w:p w14:paraId="1C469622" w14:textId="732ECC46" w:rsidR="006B1FD8" w:rsidRDefault="00923264">
      <w:pPr>
        <w:pStyle w:val="FirstParagraph"/>
      </w:pPr>
      <w:r>
        <w:t xml:space="preserve">The </w:t>
      </w:r>
      <w:r>
        <w:rPr>
          <w:rStyle w:val="VerbatimChar"/>
        </w:rPr>
        <w:t>png</w:t>
      </w:r>
      <w:r>
        <w:t xml:space="preserve"> stack of </w:t>
      </w:r>
      <w:r>
        <w:rPr>
          <w:i/>
          <w:iCs/>
        </w:rPr>
        <w:t>each</w:t>
      </w:r>
      <w:r>
        <w:t xml:space="preserve"> cropped fish region is available in </w:t>
      </w:r>
      <w:r w:rsidRPr="00FC555B">
        <w:t>a collection at MorphoSource</w:t>
      </w:r>
      <w:r w:rsidR="00FC555B">
        <w:t xml:space="preserve"> [REMOVED LINK FOR ANONYMIZATION]</w:t>
      </w:r>
      <w:r>
        <w:t>.</w:t>
      </w:r>
    </w:p>
    <w:p w14:paraId="5AFA519E" w14:textId="77777777" w:rsidR="006B1FD8" w:rsidRDefault="00923264">
      <w:pPr>
        <w:pStyle w:val="Heading4"/>
      </w:pPr>
      <w:bookmarkStart w:id="46" w:name="d-slicer-extraction"/>
      <w:bookmarkEnd w:id="45"/>
      <w:r>
        <w:t>3D Slicer; extraction</w:t>
      </w:r>
    </w:p>
    <w:p w14:paraId="501A0E3D" w14:textId="0B011DBE" w:rsidR="006B1FD8" w:rsidRDefault="00923264">
      <w:pPr>
        <w:pStyle w:val="FirstParagraph"/>
      </w:pPr>
      <w:r>
        <w:t xml:space="preserve">The Python script we used to resample curves is found </w:t>
      </w:r>
      <w:r w:rsidRPr="00FC555B">
        <w:t>online at GitHub</w:t>
      </w:r>
      <w:r w:rsidR="00FC555B">
        <w:t xml:space="preserve"> [REMOVED LINK FOR ANONYMIZATION]</w:t>
      </w:r>
      <w:r>
        <w:t xml:space="preserve">. The result of the resampling is available </w:t>
      </w:r>
      <w:r w:rsidRPr="00FC555B">
        <w:t>online</w:t>
      </w:r>
      <w:r w:rsidR="00FC555B">
        <w:t xml:space="preserve"> [REMOVED LINK FOR ANONYMIZATION]</w:t>
      </w:r>
      <w:r>
        <w:t>, too.</w:t>
      </w:r>
    </w:p>
    <w:p w14:paraId="12A10CF6" w14:textId="77777777" w:rsidR="006B1FD8" w:rsidRDefault="00923264">
      <w:pPr>
        <w:pStyle w:val="Heading4"/>
      </w:pPr>
      <w:bookmarkStart w:id="47" w:name="r-morphometrics"/>
      <w:bookmarkEnd w:id="46"/>
      <w:r>
        <w:lastRenderedPageBreak/>
        <w:t>R; morphometrics</w:t>
      </w:r>
    </w:p>
    <w:p w14:paraId="520EDFD8" w14:textId="50A63FAB" w:rsidR="00FC555B" w:rsidRPr="00FF13D0" w:rsidRDefault="00923264" w:rsidP="00FF13D0">
      <w:pPr>
        <w:pStyle w:val="FirstParagraph"/>
      </w:pPr>
      <w:r>
        <w:t xml:space="preserve">The R script we used to assess the morphometrics is found </w:t>
      </w:r>
      <w:r w:rsidRPr="00FC555B">
        <w:t>online at GitHub</w:t>
      </w:r>
      <w:r w:rsidR="00FC555B">
        <w:t xml:space="preserve"> [REMOVED LINK FOR ANONYMIZATION]</w:t>
      </w:r>
      <w:r>
        <w:t>.</w:t>
      </w:r>
      <w:bookmarkStart w:id="48" w:name="references"/>
      <w:bookmarkEnd w:id="41"/>
      <w:bookmarkEnd w:id="43"/>
      <w:bookmarkEnd w:id="47"/>
      <w:r w:rsidR="00FC555B">
        <w:br w:type="page"/>
      </w:r>
    </w:p>
    <w:p w14:paraId="50365F27" w14:textId="19BF117E" w:rsidR="006B1FD8" w:rsidRDefault="00923264">
      <w:pPr>
        <w:pStyle w:val="Heading2"/>
      </w:pPr>
      <w:r>
        <w:lastRenderedPageBreak/>
        <w:t>References</w:t>
      </w:r>
    </w:p>
    <w:p w14:paraId="50ED2C8A" w14:textId="77777777" w:rsidR="006B1FD8" w:rsidRDefault="00923264">
      <w:pPr>
        <w:pStyle w:val="Bibliography"/>
      </w:pPr>
      <w:bookmarkStart w:id="49" w:name="ref-11ofsO2hq"/>
      <w:bookmarkStart w:id="50" w:name="refs"/>
      <w:r>
        <w:t xml:space="preserve">(n.d.). </w:t>
      </w:r>
      <w:r>
        <w:rPr>
          <w:i/>
          <w:iCs/>
        </w:rPr>
        <w:t>ANSI/NISO Z39.104-2022, CRediT, Contributor Roles Taxonomy</w:t>
      </w:r>
      <w:r>
        <w:t xml:space="preserve">. NISO. </w:t>
      </w:r>
      <w:hyperlink r:id="rId42">
        <w:r>
          <w:rPr>
            <w:rStyle w:val="Hyperlink"/>
          </w:rPr>
          <w:t>https://doi.org/10.3789/ansi.niso.z39.104-2022</w:t>
        </w:r>
      </w:hyperlink>
    </w:p>
    <w:p w14:paraId="35D28E03" w14:textId="77777777" w:rsidR="006B1FD8" w:rsidRDefault="00923264">
      <w:pPr>
        <w:pStyle w:val="Bibliography"/>
      </w:pPr>
      <w:bookmarkStart w:id="51" w:name="ref-vVigKiE"/>
      <w:bookmarkEnd w:id="49"/>
      <w:r>
        <w:t xml:space="preserve">Adams, D., Collyer, M., Kaliontzopoulou, A., &amp; Baken, E. (2012). geomorph: Geometric Morphometric Analyses of 2D and 3D Landmark Data [Dataset]. In </w:t>
      </w:r>
      <w:r>
        <w:rPr>
          <w:i/>
          <w:iCs/>
        </w:rPr>
        <w:t>CRAN: Contributed Packages</w:t>
      </w:r>
      <w:r>
        <w:t xml:space="preserve">. The R Foundation. </w:t>
      </w:r>
      <w:hyperlink r:id="rId43">
        <w:r>
          <w:rPr>
            <w:rStyle w:val="Hyperlink"/>
          </w:rPr>
          <w:t>https://doi.org/10.32614/cran.package.geomorph</w:t>
        </w:r>
      </w:hyperlink>
    </w:p>
    <w:p w14:paraId="699EE7CC" w14:textId="46E0AE18" w:rsidR="006B1FD8" w:rsidRDefault="00304806">
      <w:pPr>
        <w:pStyle w:val="Bibliography"/>
      </w:pPr>
      <w:bookmarkStart w:id="52" w:name="ref-VqeoLfLl"/>
      <w:bookmarkEnd w:id="51"/>
      <w:r w:rsidRPr="00FF13D0">
        <w:t>[ANONYMIZED REFERENCE]</w:t>
      </w:r>
    </w:p>
    <w:p w14:paraId="102F6DBB" w14:textId="77777777" w:rsidR="006B1FD8" w:rsidRDefault="00923264">
      <w:pPr>
        <w:pStyle w:val="Bibliography"/>
      </w:pPr>
      <w:bookmarkStart w:id="53" w:name="ref-100JsQfhF"/>
      <w:bookmarkEnd w:id="52"/>
      <w:r>
        <w:t xml:space="preserve">Baken, E. K., Collyer, M. L., Kaliontzopoulou, A., &amp; Adams, D. C. (2021). geomorph v4.0 and gmShiny: Enhanced analytics and a new graphical interface for a comprehensive morphometric experience. </w:t>
      </w:r>
      <w:r>
        <w:rPr>
          <w:i/>
          <w:iCs/>
        </w:rPr>
        <w:t>Methods in Ecology and Evolution</w:t>
      </w:r>
      <w:r>
        <w:t xml:space="preserve">, </w:t>
      </w:r>
      <w:r>
        <w:rPr>
          <w:i/>
          <w:iCs/>
        </w:rPr>
        <w:t>12</w:t>
      </w:r>
      <w:r>
        <w:t xml:space="preserve">(12), 2355–2363. </w:t>
      </w:r>
      <w:hyperlink r:id="rId44">
        <w:r>
          <w:rPr>
            <w:rStyle w:val="Hyperlink"/>
          </w:rPr>
          <w:t>https://doi.org/10.1111/2041-210x.13723</w:t>
        </w:r>
      </w:hyperlink>
    </w:p>
    <w:p w14:paraId="069152A3" w14:textId="77777777" w:rsidR="006B1FD8" w:rsidRDefault="00923264">
      <w:pPr>
        <w:pStyle w:val="Bibliography"/>
      </w:pPr>
      <w:bookmarkStart w:id="54" w:name="ref-G9fXCoFb"/>
      <w:bookmarkEnd w:id="53"/>
      <w:r>
        <w:t xml:space="preserve">Bell, M. A., &amp; Foster, S. a. (Eds.). (1994). </w:t>
      </w:r>
      <w:r>
        <w:rPr>
          <w:i/>
          <w:iCs/>
        </w:rPr>
        <w:t>The Evolutionary Biology of the Threespine Stickleback</w:t>
      </w:r>
      <w:r>
        <w:t xml:space="preserve">. Oxford University PressOxford. </w:t>
      </w:r>
      <w:hyperlink r:id="rId45">
        <w:r>
          <w:rPr>
            <w:rStyle w:val="Hyperlink"/>
          </w:rPr>
          <w:t>https://doi.org/10.1093/oso/9780198577287.001.0001</w:t>
        </w:r>
      </w:hyperlink>
    </w:p>
    <w:p w14:paraId="101BF76F" w14:textId="77777777" w:rsidR="006B1FD8" w:rsidRDefault="00923264">
      <w:pPr>
        <w:pStyle w:val="Bibliography"/>
      </w:pPr>
      <w:bookmarkStart w:id="55" w:name="ref-10CsDLwDV"/>
      <w:bookmarkEnd w:id="54"/>
      <w:r>
        <w:t xml:space="preserve">BERNER, D., ADAMS, D. C., GRANDCHAMP, A. ‐C., &amp; HENDRY, A. P. (2008). Natural selection drives patterns of lake–stream divergence in stickleback foraging morphology. </w:t>
      </w:r>
      <w:r>
        <w:rPr>
          <w:i/>
          <w:iCs/>
        </w:rPr>
        <w:t>Journal of Evolutionary Biology</w:t>
      </w:r>
      <w:r>
        <w:t xml:space="preserve">, </w:t>
      </w:r>
      <w:r>
        <w:rPr>
          <w:i/>
          <w:iCs/>
        </w:rPr>
        <w:t>21</w:t>
      </w:r>
      <w:r>
        <w:t xml:space="preserve">(6), 1653–1665. </w:t>
      </w:r>
      <w:hyperlink r:id="rId46">
        <w:r>
          <w:rPr>
            <w:rStyle w:val="Hyperlink"/>
          </w:rPr>
          <w:t>https://doi.org/10.1111/j.1420-9101.2008.01583.x</w:t>
        </w:r>
      </w:hyperlink>
    </w:p>
    <w:p w14:paraId="1BF003FD" w14:textId="77777777" w:rsidR="006B1FD8" w:rsidRDefault="00923264">
      <w:pPr>
        <w:pStyle w:val="Bibliography"/>
      </w:pPr>
      <w:bookmarkStart w:id="56" w:name="ref-15G56iHS9"/>
      <w:bookmarkEnd w:id="55"/>
      <w:r>
        <w:t xml:space="preserve">Brooks, H., Haines, G. E., Lin, M. C., &amp; Sanderson, S. L. (2018). Physical modeling of vortical cross-step flow in the American paddlefish, Polyodon spathula. </w:t>
      </w:r>
      <w:r>
        <w:rPr>
          <w:i/>
          <w:iCs/>
        </w:rPr>
        <w:t>PLOS ONE</w:t>
      </w:r>
      <w:r>
        <w:t xml:space="preserve">, </w:t>
      </w:r>
      <w:r>
        <w:rPr>
          <w:i/>
          <w:iCs/>
        </w:rPr>
        <w:t>13</w:t>
      </w:r>
      <w:r>
        <w:t xml:space="preserve">(3), e0193874. </w:t>
      </w:r>
      <w:hyperlink r:id="rId47">
        <w:r>
          <w:rPr>
            <w:rStyle w:val="Hyperlink"/>
          </w:rPr>
          <w:t>https://doi.org/10.1371/journal.pone.0193874</w:t>
        </w:r>
      </w:hyperlink>
    </w:p>
    <w:p w14:paraId="61D5D042" w14:textId="77777777" w:rsidR="006B1FD8" w:rsidRDefault="00923264">
      <w:pPr>
        <w:pStyle w:val="Bibliography"/>
      </w:pPr>
      <w:bookmarkStart w:id="57" w:name="ref-VPUOQA2P"/>
      <w:bookmarkEnd w:id="56"/>
      <w:r>
        <w:lastRenderedPageBreak/>
        <w:t xml:space="preserve">Collyer, M. L., &amp; Adams, D. C. (2018). RRPP: An &lt;scp&gt;r&lt;/scp&gt; package for fitting linear models to high‐dimensional data using residual randomization. </w:t>
      </w:r>
      <w:r>
        <w:rPr>
          <w:i/>
          <w:iCs/>
        </w:rPr>
        <w:t>Methods in Ecology and Evolution</w:t>
      </w:r>
      <w:r>
        <w:t xml:space="preserve">, </w:t>
      </w:r>
      <w:r>
        <w:rPr>
          <w:i/>
          <w:iCs/>
        </w:rPr>
        <w:t>9</w:t>
      </w:r>
      <w:r>
        <w:t xml:space="preserve">(7), 1772–1779. </w:t>
      </w:r>
      <w:hyperlink r:id="rId48">
        <w:r>
          <w:rPr>
            <w:rStyle w:val="Hyperlink"/>
          </w:rPr>
          <w:t>https://doi.org/10.1111/2041-210x.13029</w:t>
        </w:r>
      </w:hyperlink>
    </w:p>
    <w:p w14:paraId="62A35B87" w14:textId="77777777" w:rsidR="006B1FD8" w:rsidRDefault="00923264">
      <w:pPr>
        <w:pStyle w:val="Bibliography"/>
      </w:pPr>
      <w:bookmarkStart w:id="58" w:name="ref-1FNzpGn6o"/>
      <w:bookmarkEnd w:id="57"/>
      <w:r>
        <w:t xml:space="preserve">Collyer, M., &amp; Adams, D. (2018). RRPP: Linear Model Evaluation with Randomized Residuals in a Permutation Procedure [Dataset]. In </w:t>
      </w:r>
      <w:r>
        <w:rPr>
          <w:i/>
          <w:iCs/>
        </w:rPr>
        <w:t>CRAN: Contributed Packages</w:t>
      </w:r>
      <w:r>
        <w:t xml:space="preserve">. The R Foundation. </w:t>
      </w:r>
      <w:hyperlink r:id="rId49">
        <w:r>
          <w:rPr>
            <w:rStyle w:val="Hyperlink"/>
          </w:rPr>
          <w:t>https://doi.org/10.32614/cran.package.rrpp</w:t>
        </w:r>
      </w:hyperlink>
    </w:p>
    <w:p w14:paraId="2FFB24EF" w14:textId="77777777" w:rsidR="006B1FD8" w:rsidRDefault="00923264">
      <w:pPr>
        <w:pStyle w:val="Bibliography"/>
      </w:pPr>
      <w:bookmarkStart w:id="59" w:name="ref-hj1CnyWB"/>
      <w:bookmarkEnd w:id="58"/>
      <w:r>
        <w:t xml:space="preserve">Dask Development Team. (2016). </w:t>
      </w:r>
      <w:r>
        <w:rPr>
          <w:i/>
          <w:iCs/>
        </w:rPr>
        <w:t>Dask: Library for dynamic task scheduling</w:t>
      </w:r>
      <w:r>
        <w:t xml:space="preserve">. </w:t>
      </w:r>
      <w:hyperlink r:id="rId50">
        <w:r>
          <w:rPr>
            <w:rStyle w:val="Hyperlink"/>
          </w:rPr>
          <w:t>https://dask.org</w:t>
        </w:r>
      </w:hyperlink>
    </w:p>
    <w:p w14:paraId="50C4A4F6" w14:textId="38EFC016" w:rsidR="006B1FD8" w:rsidRDefault="001C76E4">
      <w:pPr>
        <w:pStyle w:val="Bibliography"/>
      </w:pPr>
      <w:bookmarkStart w:id="60" w:name="ref-4vi5Vvpx"/>
      <w:bookmarkEnd w:id="59"/>
      <w:r>
        <w:t xml:space="preserve">[ANONYMIZED REPOSITORY]: </w:t>
      </w:r>
      <w:hyperlink r:id="rId51" w:history="1">
        <w:r w:rsidRPr="001C76E4">
          <w:rPr>
            <w:rStyle w:val="Hyperlink"/>
          </w:rPr>
          <w:t>https://anonymous.4open.science/r/sticklebacks-01A4/PreviewScans.ipynb</w:t>
        </w:r>
      </w:hyperlink>
    </w:p>
    <w:p w14:paraId="22F95DCA" w14:textId="77777777" w:rsidR="006B1FD8" w:rsidRDefault="00923264">
      <w:pPr>
        <w:pStyle w:val="Bibliography"/>
      </w:pPr>
      <w:bookmarkStart w:id="61" w:name="ref-11i8vzpUp"/>
      <w:bookmarkEnd w:id="60"/>
      <w:r w:rsidRPr="001C76E4">
        <w:rPr>
          <w:lang w:val="de-CH"/>
        </w:rPr>
        <w:t xml:space="preserve">Eckert, L., Bolnick, D. I., Derry, A. M., Haines, G. E., Heckley, A. M., Lind, Å. J., Peichel, C. L., Roth, A. M., Steinel, N. C., Vlahiotis, K., Weber, J. N., Hendry, A. P., &amp; Barrett, R. D. H. (2026). </w:t>
      </w:r>
      <w:r>
        <w:rPr>
          <w:i/>
          <w:iCs/>
        </w:rPr>
        <w:t>Intrinsic fitness differences outweigh environmental matching in shaping introduction outcomes in nature</w:t>
      </w:r>
      <w:r>
        <w:t xml:space="preserve">. openRxiv. </w:t>
      </w:r>
      <w:hyperlink r:id="rId52">
        <w:r>
          <w:rPr>
            <w:rStyle w:val="Hyperlink"/>
          </w:rPr>
          <w:t>https://doi.org/10.64898/2026.02.04.699496</w:t>
        </w:r>
      </w:hyperlink>
    </w:p>
    <w:p w14:paraId="538FE1DA" w14:textId="77777777" w:rsidR="006B1FD8" w:rsidRDefault="00923264">
      <w:pPr>
        <w:pStyle w:val="Bibliography"/>
      </w:pPr>
      <w:bookmarkStart w:id="62" w:name="ref-RdhjaIDe"/>
      <w:bookmarkEnd w:id="61"/>
      <w:r w:rsidRPr="00194686">
        <w:rPr>
          <w:lang w:val="fr-FR"/>
        </w:rPr>
        <w:t xml:space="preserve">Ellis, N. A., &amp; Miller, C. T. (2016). </w:t>
      </w:r>
      <w:r>
        <w:t xml:space="preserve">Dissection and </w:t>
      </w:r>
      <w:proofErr w:type="gramStart"/>
      <w:r>
        <w:t>Flat-mounting</w:t>
      </w:r>
      <w:proofErr w:type="gramEnd"/>
      <w:r>
        <w:t xml:space="preserve"> of the Threespine Stickleback Branchial Skeleton. </w:t>
      </w:r>
      <w:r>
        <w:rPr>
          <w:i/>
          <w:iCs/>
        </w:rPr>
        <w:t>Journal of Visualized Experiments</w:t>
      </w:r>
      <w:r>
        <w:t xml:space="preserve">, (111). </w:t>
      </w:r>
      <w:hyperlink r:id="rId53">
        <w:r>
          <w:rPr>
            <w:rStyle w:val="Hyperlink"/>
          </w:rPr>
          <w:t>https://doi.org/10.3791/54056</w:t>
        </w:r>
      </w:hyperlink>
    </w:p>
    <w:p w14:paraId="51D84F5F" w14:textId="77777777" w:rsidR="006B1FD8" w:rsidRDefault="00923264">
      <w:pPr>
        <w:pStyle w:val="Bibliography"/>
      </w:pPr>
      <w:bookmarkStart w:id="63" w:name="ref-19h9vxsYG"/>
      <w:bookmarkEnd w:id="62"/>
      <w:r>
        <w:t xml:space="preserve">Ford, K. L., Albert, J. S., Summers, A. P., Hedrick, B. P., Schachner, E. R., Jones, A. S., Evans, K., &amp; Chakrabarty, P. (2023). A New Era of Morphological Investigations: Reviewing Methods for Comparative Anatomical Studies. </w:t>
      </w:r>
      <w:r>
        <w:rPr>
          <w:i/>
          <w:iCs/>
        </w:rPr>
        <w:t>Integrative Organismal Biology</w:t>
      </w:r>
      <w:r>
        <w:t xml:space="preserve">, </w:t>
      </w:r>
      <w:r>
        <w:rPr>
          <w:i/>
          <w:iCs/>
        </w:rPr>
        <w:t>5</w:t>
      </w:r>
      <w:r>
        <w:t xml:space="preserve">(1). </w:t>
      </w:r>
      <w:hyperlink r:id="rId54">
        <w:r>
          <w:rPr>
            <w:rStyle w:val="Hyperlink"/>
          </w:rPr>
          <w:t>https://doi.org/10.1093/iob/obad008</w:t>
        </w:r>
      </w:hyperlink>
    </w:p>
    <w:p w14:paraId="7269CDEB" w14:textId="189EF465" w:rsidR="006B1FD8" w:rsidRDefault="001C76E4">
      <w:pPr>
        <w:pStyle w:val="Bibliography"/>
      </w:pPr>
      <w:bookmarkStart w:id="64" w:name="ref-115PPSuQp"/>
      <w:bookmarkEnd w:id="63"/>
      <w:r>
        <w:t>[ANONYMIZED REFERENCE]</w:t>
      </w:r>
    </w:p>
    <w:p w14:paraId="600DAB7A" w14:textId="77777777" w:rsidR="006B1FD8" w:rsidRDefault="00923264">
      <w:pPr>
        <w:pStyle w:val="Bibliography"/>
      </w:pPr>
      <w:bookmarkStart w:id="65" w:name="ref-a5G6tHdh"/>
      <w:bookmarkEnd w:id="64"/>
      <w:r>
        <w:t xml:space="preserve">Haines, G. E., Stuart, Y. E., Hanson, D., Tasneem, T., Bolnick, D. I., Larsson, H. C. E., &amp; Hendry, A. P. (2020). Adding the third dimension to studies of parallel evolution of morphology </w:t>
      </w:r>
      <w:r>
        <w:lastRenderedPageBreak/>
        <w:t xml:space="preserve">and function: An exploration based on parapatric lake‐stream stickleback. </w:t>
      </w:r>
      <w:r>
        <w:rPr>
          <w:i/>
          <w:iCs/>
        </w:rPr>
        <w:t>Ecology and Evolution</w:t>
      </w:r>
      <w:r>
        <w:t xml:space="preserve">, </w:t>
      </w:r>
      <w:r>
        <w:rPr>
          <w:i/>
          <w:iCs/>
        </w:rPr>
        <w:t>10</w:t>
      </w:r>
      <w:r>
        <w:t xml:space="preserve">(23), 13297–13311. </w:t>
      </w:r>
      <w:hyperlink r:id="rId55">
        <w:r>
          <w:rPr>
            <w:rStyle w:val="Hyperlink"/>
          </w:rPr>
          <w:t>https://doi.org/10.1002/ece3.6929</w:t>
        </w:r>
      </w:hyperlink>
    </w:p>
    <w:p w14:paraId="077851F2" w14:textId="45083A09" w:rsidR="006B1FD8" w:rsidRDefault="00693A04">
      <w:pPr>
        <w:pStyle w:val="Bibliography"/>
      </w:pPr>
      <w:bookmarkStart w:id="66" w:name="ref-11BPceIkC"/>
      <w:bookmarkEnd w:id="65"/>
      <w:r>
        <w:t>[ANONYMIZED REFERENCE]</w:t>
      </w:r>
    </w:p>
    <w:p w14:paraId="03296501" w14:textId="6276CCE0" w:rsidR="00693A04" w:rsidRDefault="00693A04">
      <w:pPr>
        <w:pStyle w:val="Bibliography"/>
      </w:pPr>
      <w:r>
        <w:t>[ANONYMIZED REFERENCE]</w:t>
      </w:r>
    </w:p>
    <w:p w14:paraId="638EA292" w14:textId="77777777" w:rsidR="006B1FD8" w:rsidRDefault="00923264">
      <w:pPr>
        <w:pStyle w:val="Bibliography"/>
      </w:pPr>
      <w:bookmarkStart w:id="67" w:name="ref-YuJbg3zO"/>
      <w:bookmarkEnd w:id="66"/>
      <w:r w:rsidRPr="00693A04">
        <w:rPr>
          <w:lang w:val="de-CH"/>
        </w:rPr>
        <w:t xml:space="preserve">Himmelstein, D. S., Rubinetti, V., Slochower, D. R., Hu, D., Malladi, V. S., Greene, C. S., &amp; Gitter, A. (2019). </w:t>
      </w:r>
      <w:r>
        <w:t xml:space="preserve">Open collaborative writing with Manubot. </w:t>
      </w:r>
      <w:r>
        <w:rPr>
          <w:i/>
          <w:iCs/>
        </w:rPr>
        <w:t>PLOS Computational Biology</w:t>
      </w:r>
      <w:r>
        <w:t xml:space="preserve">, </w:t>
      </w:r>
      <w:r>
        <w:rPr>
          <w:i/>
          <w:iCs/>
        </w:rPr>
        <w:t>15</w:t>
      </w:r>
      <w:r>
        <w:t xml:space="preserve">(6), e1007128. </w:t>
      </w:r>
      <w:hyperlink r:id="rId56">
        <w:r>
          <w:rPr>
            <w:rStyle w:val="Hyperlink"/>
          </w:rPr>
          <w:t>https://doi.org/10.1371/journal.pcbi.1007128</w:t>
        </w:r>
      </w:hyperlink>
    </w:p>
    <w:p w14:paraId="71FFB6D1" w14:textId="77777777" w:rsidR="006B1FD8" w:rsidRDefault="00923264">
      <w:pPr>
        <w:pStyle w:val="Bibliography"/>
      </w:pPr>
      <w:bookmarkStart w:id="68" w:name="ref-EsDua5wx"/>
      <w:bookmarkEnd w:id="67"/>
      <w:r>
        <w:t xml:space="preserve">Kikinis, R., Pieper, S. D., &amp; Vosburgh, K. G. (2013). 3D Slicer: A Platform for Subject-Specific Image Analysis, Visualization, and Clinical Support. In </w:t>
      </w:r>
      <w:r>
        <w:rPr>
          <w:i/>
          <w:iCs/>
        </w:rPr>
        <w:t>Intraoperative Imaging and Image-Guided Therapy</w:t>
      </w:r>
      <w:r>
        <w:t xml:space="preserve"> (pp. 277–289). Springer New York. </w:t>
      </w:r>
      <w:hyperlink r:id="rId57">
        <w:r>
          <w:rPr>
            <w:rStyle w:val="Hyperlink"/>
          </w:rPr>
          <w:t>https://doi.org/10.1007/978-1-4614-7657-3_19</w:t>
        </w:r>
      </w:hyperlink>
    </w:p>
    <w:p w14:paraId="7A1572D3" w14:textId="77777777" w:rsidR="006B1FD8" w:rsidRDefault="00923264">
      <w:pPr>
        <w:pStyle w:val="Bibliography"/>
      </w:pPr>
      <w:bookmarkStart w:id="69" w:name="ref-1Bh7g5XAe"/>
      <w:bookmarkEnd w:id="68"/>
      <w:r>
        <w:t>Kluyver Thomas, Ragan-Kelley Benjamin, P&amp;</w:t>
      </w:r>
      <w:proofErr w:type="gramStart"/>
      <w:r>
        <w:t>eacute;rez</w:t>
      </w:r>
      <w:proofErr w:type="gramEnd"/>
      <w:r>
        <w:t xml:space="preserve"> Fernando, Granger Brian, Bussonnier Matthias, Frederic Jonathan, Kelley Kyle, Hamrick Jessica, Grout Jason, Corlay Sylvain, Ivanov Paul, Avila Dami&amp;</w:t>
      </w:r>
      <w:proofErr w:type="gramStart"/>
      <w:r>
        <w:t>aacute;n</w:t>
      </w:r>
      <w:proofErr w:type="gramEnd"/>
      <w:r>
        <w:t>, Abdalla Safia, Willing Carol, &amp; Jupyter Development Team. (2016). Jupyter Notebooks &amp;</w:t>
      </w:r>
      <w:proofErr w:type="gramStart"/>
      <w:r>
        <w:t>amp;ndash</w:t>
      </w:r>
      <w:proofErr w:type="gramEnd"/>
      <w:r>
        <w:t xml:space="preserve">; a publishing format for reproducible computational workflows. In </w:t>
      </w:r>
      <w:r>
        <w:rPr>
          <w:i/>
          <w:iCs/>
        </w:rPr>
        <w:t>Positioning and Power in Academic Publishing: Players, Agents and Agendas</w:t>
      </w:r>
      <w:r>
        <w:t xml:space="preserve">. IOS Press. </w:t>
      </w:r>
      <w:hyperlink r:id="rId58">
        <w:r>
          <w:rPr>
            <w:rStyle w:val="Hyperlink"/>
          </w:rPr>
          <w:t>https://doi.org/10.3233/978-1-61499-649-1-87</w:t>
        </w:r>
      </w:hyperlink>
    </w:p>
    <w:p w14:paraId="23E2EF15" w14:textId="77777777" w:rsidR="006B1FD8" w:rsidRDefault="00923264">
      <w:pPr>
        <w:pStyle w:val="Bibliography"/>
      </w:pPr>
      <w:bookmarkStart w:id="70" w:name="ref-jHalJ9Zw"/>
      <w:bookmarkEnd w:id="69"/>
      <w:r>
        <w:t xml:space="preserve">Lösel, P. D., van de Kamp, T., Jayme, A., Ershov, A., Faragó, T., Pichler, O., Tan Jerome, N., Aadepu, N., Bremer, S., Chilingaryan, S. A., Heethoff, M., Kopmann, A., Odar, J., Schmelzle, S., Zuber, M., Wittbrodt, J., Baumbach, T., &amp; Heuveline, V. (2020). Introducing Biomedisa as an open-source online platform for biomedical image segmentation. </w:t>
      </w:r>
      <w:r>
        <w:rPr>
          <w:i/>
          <w:iCs/>
        </w:rPr>
        <w:t>Nature Communications</w:t>
      </w:r>
      <w:r>
        <w:t xml:space="preserve">, </w:t>
      </w:r>
      <w:r>
        <w:rPr>
          <w:i/>
          <w:iCs/>
        </w:rPr>
        <w:t>11</w:t>
      </w:r>
      <w:r>
        <w:t xml:space="preserve">(1). </w:t>
      </w:r>
      <w:hyperlink r:id="rId59">
        <w:r>
          <w:rPr>
            <w:rStyle w:val="Hyperlink"/>
          </w:rPr>
          <w:t>https://doi.org/10.1038/s41467-020-19303-w</w:t>
        </w:r>
      </w:hyperlink>
    </w:p>
    <w:p w14:paraId="53FAB7CB" w14:textId="77777777" w:rsidR="006B1FD8" w:rsidRDefault="00923264">
      <w:pPr>
        <w:pStyle w:val="Bibliography"/>
      </w:pPr>
      <w:bookmarkStart w:id="71" w:name="ref-ZUWTpAJ8"/>
      <w:bookmarkEnd w:id="70"/>
      <w:r>
        <w:lastRenderedPageBreak/>
        <w:t xml:space="preserve">McGee, M. D., Schluter, D., &amp; Wainwright, P. C. (2013). Functional basis of ecological divergence in sympatric stickleback. </w:t>
      </w:r>
      <w:r>
        <w:rPr>
          <w:i/>
          <w:iCs/>
        </w:rPr>
        <w:t>BMC Evolutionary Biology</w:t>
      </w:r>
      <w:r>
        <w:t xml:space="preserve">, </w:t>
      </w:r>
      <w:r>
        <w:rPr>
          <w:i/>
          <w:iCs/>
        </w:rPr>
        <w:t>13</w:t>
      </w:r>
      <w:r>
        <w:t xml:space="preserve">(1), 277. </w:t>
      </w:r>
      <w:hyperlink r:id="rId60">
        <w:r>
          <w:rPr>
            <w:rStyle w:val="Hyperlink"/>
          </w:rPr>
          <w:t>https://doi.org/10.1186/1471-2148-13-277</w:t>
        </w:r>
      </w:hyperlink>
    </w:p>
    <w:p w14:paraId="5469C54E" w14:textId="77777777" w:rsidR="006B1FD8" w:rsidRDefault="00923264">
      <w:pPr>
        <w:pStyle w:val="Bibliography"/>
      </w:pPr>
      <w:bookmarkStart w:id="72" w:name="ref-uw1mZ6Yi"/>
      <w:bookmarkEnd w:id="71"/>
      <w:r>
        <w:t xml:space="preserve">Meeker, N. D., Hutchinson, S. A., Ho, L., &amp; Trede, N. S. (2007). Method for Isolation of PCR-Ready Genomic DNA from Zebrafish Tissues. </w:t>
      </w:r>
      <w:r>
        <w:rPr>
          <w:i/>
          <w:iCs/>
        </w:rPr>
        <w:t>BioTechniques</w:t>
      </w:r>
      <w:r>
        <w:t xml:space="preserve">, </w:t>
      </w:r>
      <w:r>
        <w:rPr>
          <w:i/>
          <w:iCs/>
        </w:rPr>
        <w:t>43</w:t>
      </w:r>
      <w:r>
        <w:t xml:space="preserve">(5), 610–614. </w:t>
      </w:r>
      <w:hyperlink r:id="rId61">
        <w:r>
          <w:rPr>
            <w:rStyle w:val="Hyperlink"/>
          </w:rPr>
          <w:t>https://doi.org/10.2144/000112619</w:t>
        </w:r>
      </w:hyperlink>
    </w:p>
    <w:p w14:paraId="78C32403" w14:textId="77777777" w:rsidR="006B1FD8" w:rsidRDefault="00923264">
      <w:pPr>
        <w:pStyle w:val="Bibliography"/>
      </w:pPr>
      <w:bookmarkStart w:id="73" w:name="ref-p38Gm1rT"/>
      <w:bookmarkEnd w:id="72"/>
      <w:r>
        <w:t xml:space="preserve">Miles, A., Kirkham, J., Durant, M., Bourbeau, J., Onalan, T., Hamman, J., Zain Patel, Shikharsg, Rocklin, M., Dussin, R., Schut, V., Andrade, E. S. D., Abernathey, R., Noyes, C., Sbalmer, Pyup.Io Bot, Tran, T., Saalfeld, S., Swaney, J., … </w:t>
      </w:r>
      <w:r w:rsidRPr="00FC555B">
        <w:rPr>
          <w:lang w:val="de-CH"/>
        </w:rPr>
        <w:t xml:space="preserve">Banihirwe, A. (2020). </w:t>
      </w:r>
      <w:r w:rsidRPr="00FC555B">
        <w:rPr>
          <w:i/>
          <w:iCs/>
          <w:lang w:val="de-CH"/>
        </w:rPr>
        <w:t>zarr-developers/zarr-python: v2.4.0</w:t>
      </w:r>
      <w:r w:rsidRPr="00FC555B">
        <w:rPr>
          <w:lang w:val="de-CH"/>
        </w:rPr>
        <w:t xml:space="preserve"> (Version v2.4.0) [Computer software]. Zenodo. </w:t>
      </w:r>
      <w:r>
        <w:fldChar w:fldCharType="begin"/>
      </w:r>
      <w:r w:rsidRPr="00194686">
        <w:rPr>
          <w:lang w:val="de-CH"/>
        </w:rPr>
        <w:instrText>HYPERLINK "https://doi.org/10.5281/zenodo.3773450" \h</w:instrText>
      </w:r>
      <w:r>
        <w:fldChar w:fldCharType="separate"/>
      </w:r>
      <w:r>
        <w:rPr>
          <w:rStyle w:val="Hyperlink"/>
        </w:rPr>
        <w:t>https://doi.org/10.5281/zenodo.3773450</w:t>
      </w:r>
      <w:r>
        <w:fldChar w:fldCharType="end"/>
      </w:r>
    </w:p>
    <w:p w14:paraId="71498FC2" w14:textId="77777777" w:rsidR="006B1FD8" w:rsidRDefault="00923264">
      <w:pPr>
        <w:pStyle w:val="Bibliography"/>
      </w:pPr>
      <w:bookmarkStart w:id="74" w:name="ref-jxVw2kt2"/>
      <w:bookmarkEnd w:id="73"/>
      <w:r>
        <w:rPr>
          <w:i/>
          <w:iCs/>
        </w:rPr>
        <w:t>Overview — K3D-jupyter documentation</w:t>
      </w:r>
      <w:r>
        <w:t xml:space="preserve">. (n.d.). Retrieved August 21, 2026, from </w:t>
      </w:r>
      <w:hyperlink r:id="rId62">
        <w:r>
          <w:rPr>
            <w:rStyle w:val="Hyperlink"/>
          </w:rPr>
          <w:t>https://k3d-jupyter.org/</w:t>
        </w:r>
      </w:hyperlink>
    </w:p>
    <w:p w14:paraId="2E1CEB4E" w14:textId="77777777" w:rsidR="006B1FD8" w:rsidRDefault="00923264">
      <w:pPr>
        <w:pStyle w:val="Bibliography"/>
      </w:pPr>
      <w:bookmarkStart w:id="75" w:name="ref-whEyWyQh"/>
      <w:bookmarkEnd w:id="74"/>
      <w:r>
        <w:t xml:space="preserve">R Core Team. (2021). </w:t>
      </w:r>
      <w:r>
        <w:rPr>
          <w:i/>
          <w:iCs/>
        </w:rPr>
        <w:t>R: A language and environment for statistical computing</w:t>
      </w:r>
      <w:r>
        <w:t xml:space="preserve">. R Foundation for Statistical Computing. </w:t>
      </w:r>
      <w:hyperlink r:id="rId63">
        <w:r>
          <w:rPr>
            <w:rStyle w:val="Hyperlink"/>
          </w:rPr>
          <w:t>https://www.R-project.org/</w:t>
        </w:r>
      </w:hyperlink>
    </w:p>
    <w:p w14:paraId="267BE37B" w14:textId="77777777" w:rsidR="006B1FD8" w:rsidRDefault="00923264">
      <w:pPr>
        <w:pStyle w:val="Bibliography"/>
      </w:pPr>
      <w:bookmarkStart w:id="76" w:name="ref-IKVBgaCE"/>
      <w:bookmarkEnd w:id="75"/>
      <w:r>
        <w:t xml:space="preserve">Rawson, S. D., Maksimcuka, J., Withers, P. J., &amp; Cartmell, S. H. (2020). X-ray computed tomography in life sciences. </w:t>
      </w:r>
      <w:r>
        <w:rPr>
          <w:i/>
          <w:iCs/>
        </w:rPr>
        <w:t>BMC Biology</w:t>
      </w:r>
      <w:r>
        <w:t xml:space="preserve">, </w:t>
      </w:r>
      <w:r>
        <w:rPr>
          <w:i/>
          <w:iCs/>
        </w:rPr>
        <w:t>18</w:t>
      </w:r>
      <w:r>
        <w:t xml:space="preserve">(1). </w:t>
      </w:r>
      <w:hyperlink r:id="rId64">
        <w:r>
          <w:rPr>
            <w:rStyle w:val="Hyperlink"/>
          </w:rPr>
          <w:t>https://doi.org/10.1186/s12915-020-0753-2</w:t>
        </w:r>
      </w:hyperlink>
    </w:p>
    <w:p w14:paraId="79D2BED8" w14:textId="77777777" w:rsidR="006B1FD8" w:rsidRDefault="00923264">
      <w:pPr>
        <w:pStyle w:val="Bibliography"/>
      </w:pPr>
      <w:bookmarkStart w:id="77" w:name="ref-tyLSEVnP"/>
      <w:bookmarkEnd w:id="76"/>
      <w:r>
        <w:t xml:space="preserve">Reid, K., Bell, M. A., &amp; Veeramah, K. R. (2021). Threespine Stickleback: A Model System </w:t>
      </w:r>
      <w:proofErr w:type="gramStart"/>
      <w:r>
        <w:t>For</w:t>
      </w:r>
      <w:proofErr w:type="gramEnd"/>
      <w:r>
        <w:t xml:space="preserve"> Evolutionary Genomics. </w:t>
      </w:r>
      <w:r>
        <w:rPr>
          <w:i/>
          <w:iCs/>
        </w:rPr>
        <w:t>Annual Review of Genomics and Human Genetics</w:t>
      </w:r>
      <w:r>
        <w:t xml:space="preserve">, </w:t>
      </w:r>
      <w:r>
        <w:rPr>
          <w:i/>
          <w:iCs/>
        </w:rPr>
        <w:t>22</w:t>
      </w:r>
      <w:r>
        <w:t xml:space="preserve">(1), 357–383. </w:t>
      </w:r>
      <w:hyperlink r:id="rId65">
        <w:r>
          <w:rPr>
            <w:rStyle w:val="Hyperlink"/>
          </w:rPr>
          <w:t>https://doi.org/10.1146/annurev-genom-111720-081402</w:t>
        </w:r>
      </w:hyperlink>
    </w:p>
    <w:p w14:paraId="24F06A84" w14:textId="77777777" w:rsidR="006B1FD8" w:rsidRDefault="00923264">
      <w:pPr>
        <w:pStyle w:val="Bibliography"/>
      </w:pPr>
      <w:bookmarkStart w:id="78" w:name="ref-MwdN6kPV"/>
      <w:bookmarkEnd w:id="77"/>
      <w:r>
        <w:t xml:space="preserve">Rolfe, S., Pieper, S., Porto, A., Diamond, K., Winchester, J., Shan, S., Kirveslahti, H., Boyer, D., Summers, A., &amp; Maga, A. M. (2021). SlicerMorph: An open and extensible platform to retrieve, </w:t>
      </w:r>
      <w:r>
        <w:lastRenderedPageBreak/>
        <w:t xml:space="preserve">visualize and analyse 3D morphology. </w:t>
      </w:r>
      <w:r>
        <w:rPr>
          <w:i/>
          <w:iCs/>
        </w:rPr>
        <w:t>Methods in Ecology and Evolution</w:t>
      </w:r>
      <w:r>
        <w:t xml:space="preserve">, </w:t>
      </w:r>
      <w:r>
        <w:rPr>
          <w:i/>
          <w:iCs/>
        </w:rPr>
        <w:t>12</w:t>
      </w:r>
      <w:r>
        <w:t xml:space="preserve">(10), 1816–1825. </w:t>
      </w:r>
      <w:hyperlink r:id="rId66">
        <w:r>
          <w:rPr>
            <w:rStyle w:val="Hyperlink"/>
          </w:rPr>
          <w:t>https://doi.org/10.1111/2041-210x.13669</w:t>
        </w:r>
      </w:hyperlink>
    </w:p>
    <w:p w14:paraId="36332225" w14:textId="77777777" w:rsidR="006B1FD8" w:rsidRDefault="00923264">
      <w:pPr>
        <w:pStyle w:val="Bibliography"/>
      </w:pPr>
      <w:bookmarkStart w:id="79" w:name="ref-Fkmz2cmo"/>
      <w:bookmarkEnd w:id="78"/>
      <w:r>
        <w:t xml:space="preserve">Schindelin, J., Arganda-Carreras, I., Frise, E., Kaynig, V., Longair, M., Pietzsch, T., Preibisch, S., Rueden, C., Saalfeld, S., Schmid, B., Tinevez, J.-Y., White, D. J., Hartenstein, V., Eliceiri, K., Tomancak, P., &amp; Cardona, A. (2012). Fiji: an open-source platform for biological-image analysis. </w:t>
      </w:r>
      <w:r>
        <w:rPr>
          <w:i/>
          <w:iCs/>
        </w:rPr>
        <w:t>Nature Methods</w:t>
      </w:r>
      <w:r>
        <w:t xml:space="preserve">, </w:t>
      </w:r>
      <w:r>
        <w:rPr>
          <w:i/>
          <w:iCs/>
        </w:rPr>
        <w:t>9</w:t>
      </w:r>
      <w:r>
        <w:t xml:space="preserve">(7), 676–682. </w:t>
      </w:r>
      <w:hyperlink r:id="rId67">
        <w:r>
          <w:rPr>
            <w:rStyle w:val="Hyperlink"/>
          </w:rPr>
          <w:t>https://doi.org/10.1038/nmeth.2019</w:t>
        </w:r>
      </w:hyperlink>
    </w:p>
    <w:p w14:paraId="62B1B743" w14:textId="77777777" w:rsidR="006B1FD8" w:rsidRDefault="00923264">
      <w:pPr>
        <w:pStyle w:val="Bibliography"/>
      </w:pPr>
      <w:bookmarkStart w:id="80" w:name="ref-1Dlme4sp5"/>
      <w:bookmarkEnd w:id="79"/>
      <w:r>
        <w:t xml:space="preserve">Schluter, D., &amp; McPhail, J. D. (1992). Ecological Character Displacement and Speciation in Sticklebacks. </w:t>
      </w:r>
      <w:r>
        <w:rPr>
          <w:i/>
          <w:iCs/>
        </w:rPr>
        <w:t>The American Naturalist</w:t>
      </w:r>
      <w:r>
        <w:t xml:space="preserve">, </w:t>
      </w:r>
      <w:r>
        <w:rPr>
          <w:i/>
          <w:iCs/>
        </w:rPr>
        <w:t>140</w:t>
      </w:r>
      <w:r>
        <w:t xml:space="preserve">(1), 85–108. </w:t>
      </w:r>
      <w:hyperlink r:id="rId68">
        <w:r>
          <w:rPr>
            <w:rStyle w:val="Hyperlink"/>
          </w:rPr>
          <w:t>https://doi.org/10.1086/285404</w:t>
        </w:r>
      </w:hyperlink>
    </w:p>
    <w:p w14:paraId="56D06CAA" w14:textId="77777777" w:rsidR="006B1FD8" w:rsidRDefault="00923264">
      <w:pPr>
        <w:pStyle w:val="Bibliography"/>
      </w:pPr>
      <w:bookmarkStart w:id="81" w:name="ref-YEMgt2T4"/>
      <w:bookmarkEnd w:id="80"/>
      <w:r>
        <w:t xml:space="preserve">Sofroniew, N., Lambert, T., Bokota, G., Nunez-Iglesias, J., Sobolewski, P., Sweet, A., Gaifas, L., Evans, K., Burt, A., Doncila Pop, D., Yamauchi, K., Weber Mendonça, M., Rodríguez-Guerra, J., Liu, L., Buckley, G., Vierdag, W.-M., Anderson, A., Monko, T., Willing, C., … Nagineni, V. (2026). </w:t>
      </w:r>
      <w:r>
        <w:rPr>
          <w:i/>
          <w:iCs/>
        </w:rPr>
        <w:t>napari: a multi-dimensional image viewer for Python</w:t>
      </w:r>
      <w:r>
        <w:t xml:space="preserve"> (Version v0.9.0a2) [Computer software]. Zenodo. </w:t>
      </w:r>
      <w:hyperlink r:id="rId69">
        <w:r>
          <w:rPr>
            <w:rStyle w:val="Hyperlink"/>
          </w:rPr>
          <w:t>https://doi.org/10.5281/zenodo.3555620</w:t>
        </w:r>
      </w:hyperlink>
    </w:p>
    <w:p w14:paraId="14E5A21B" w14:textId="77777777" w:rsidR="006B1FD8" w:rsidRDefault="00923264">
      <w:pPr>
        <w:pStyle w:val="Bibliography"/>
      </w:pPr>
      <w:bookmarkStart w:id="82" w:name="ref-1EuiurioH"/>
      <w:bookmarkEnd w:id="81"/>
      <w:r>
        <w:t xml:space="preserve">Stratovan Corporation. (n.d.). </w:t>
      </w:r>
      <w:r>
        <w:rPr>
          <w:i/>
          <w:iCs/>
        </w:rPr>
        <w:t>Stratovan checkpoint</w:t>
      </w:r>
      <w:r>
        <w:t xml:space="preserve"> (Version 2025.06.02.09:11 WIN x64). Retrieved </w:t>
      </w:r>
      <w:hyperlink r:id="rId70">
        <w:r>
          <w:rPr>
            <w:rStyle w:val="Hyperlink"/>
          </w:rPr>
          <w:t>https://www.stratovan.com/products/checkpoint</w:t>
        </w:r>
      </w:hyperlink>
    </w:p>
    <w:p w14:paraId="4888B24F" w14:textId="77777777" w:rsidR="006B1FD8" w:rsidRDefault="00923264">
      <w:pPr>
        <w:pStyle w:val="Bibliography"/>
      </w:pPr>
      <w:bookmarkStart w:id="83" w:name="ref-v1hRNLF5"/>
      <w:bookmarkEnd w:id="82"/>
      <w:r>
        <w:t xml:space="preserve">Takata, Y., &amp; Sasaki, K. (2005). Branchial structures in the Gasterosteiformes, with special reference to myology and phylogenetic implications. </w:t>
      </w:r>
      <w:r>
        <w:rPr>
          <w:i/>
          <w:iCs/>
        </w:rPr>
        <w:t>Ichthyological Research</w:t>
      </w:r>
      <w:r>
        <w:t xml:space="preserve">, </w:t>
      </w:r>
      <w:r>
        <w:rPr>
          <w:i/>
          <w:iCs/>
        </w:rPr>
        <w:t>52</w:t>
      </w:r>
      <w:r>
        <w:t xml:space="preserve">(1), 33–49. </w:t>
      </w:r>
      <w:hyperlink r:id="rId71">
        <w:r>
          <w:rPr>
            <w:rStyle w:val="Hyperlink"/>
          </w:rPr>
          <w:t>https://doi.org/10.1007/s10228-004-0251-5</w:t>
        </w:r>
      </w:hyperlink>
    </w:p>
    <w:p w14:paraId="3F2D6BFF" w14:textId="77777777" w:rsidR="006B1FD8" w:rsidRPr="00FC555B" w:rsidRDefault="00923264">
      <w:pPr>
        <w:pStyle w:val="Bibliography"/>
        <w:rPr>
          <w:lang w:val="de-CH"/>
        </w:rPr>
      </w:pPr>
      <w:bookmarkStart w:id="84" w:name="ref-EWbJLKbO"/>
      <w:bookmarkEnd w:id="83"/>
      <w:r>
        <w:t xml:space="preserve">Vandewalle, P., Parmentier, E., &amp; Chardon, M. (2000). The branchial basket in Teleost feeding. </w:t>
      </w:r>
      <w:r w:rsidRPr="00FC555B">
        <w:rPr>
          <w:i/>
          <w:iCs/>
          <w:lang w:val="de-CH"/>
        </w:rPr>
        <w:t>Cybium</w:t>
      </w:r>
      <w:r w:rsidRPr="00FC555B">
        <w:rPr>
          <w:lang w:val="de-CH"/>
        </w:rPr>
        <w:t xml:space="preserve">, </w:t>
      </w:r>
      <w:r w:rsidRPr="00FC555B">
        <w:rPr>
          <w:i/>
          <w:iCs/>
          <w:lang w:val="de-CH"/>
        </w:rPr>
        <w:t>24</w:t>
      </w:r>
      <w:r w:rsidRPr="00FC555B">
        <w:rPr>
          <w:lang w:val="de-CH"/>
        </w:rPr>
        <w:t xml:space="preserve">(4). </w:t>
      </w:r>
      <w:hyperlink r:id="rId72">
        <w:r w:rsidRPr="00FC555B">
          <w:rPr>
            <w:rStyle w:val="Hyperlink"/>
            <w:lang w:val="de-CH"/>
          </w:rPr>
          <w:t>https://orbi.uliege.be/handle/2268/14698</w:t>
        </w:r>
      </w:hyperlink>
    </w:p>
    <w:p w14:paraId="4C94F3AC" w14:textId="77777777" w:rsidR="006B1FD8" w:rsidRDefault="00923264">
      <w:pPr>
        <w:pStyle w:val="Bibliography"/>
      </w:pPr>
      <w:bookmarkStart w:id="85" w:name="ref-Tw8w7mV3"/>
      <w:bookmarkEnd w:id="84"/>
      <w:r w:rsidRPr="00FC555B">
        <w:rPr>
          <w:lang w:val="de-CH"/>
        </w:rPr>
        <w:t xml:space="preserve">WILLACKER, J. J., VON HIPPEL, F. A., WILTON, P. R., &amp; WALTON, K. M. (2010). </w:t>
      </w:r>
      <w:r>
        <w:t xml:space="preserve">Classification of threespine stickleback along the benthic-limnetic axis. </w:t>
      </w:r>
      <w:r>
        <w:rPr>
          <w:i/>
          <w:iCs/>
        </w:rPr>
        <w:t>Biological Journal of the Linnean Society</w:t>
      </w:r>
      <w:r>
        <w:t xml:space="preserve">, </w:t>
      </w:r>
      <w:r>
        <w:rPr>
          <w:i/>
          <w:iCs/>
        </w:rPr>
        <w:t>101</w:t>
      </w:r>
      <w:r>
        <w:t xml:space="preserve">(3), 595–608. </w:t>
      </w:r>
      <w:hyperlink r:id="rId73">
        <w:r>
          <w:rPr>
            <w:rStyle w:val="Hyperlink"/>
          </w:rPr>
          <w:t>https://doi.org/10.1111/j.1095-8312.2010.01531.x</w:t>
        </w:r>
      </w:hyperlink>
    </w:p>
    <w:p w14:paraId="0954E5C1" w14:textId="77777777" w:rsidR="006B1FD8" w:rsidRDefault="00923264">
      <w:pPr>
        <w:pStyle w:val="Bibliography"/>
      </w:pPr>
      <w:bookmarkStart w:id="86" w:name="ref-JICzDA7P"/>
      <w:bookmarkEnd w:id="85"/>
      <w:r>
        <w:lastRenderedPageBreak/>
        <w:t>廖炳松</w:t>
      </w:r>
      <w:r>
        <w:t xml:space="preserve">, </w:t>
      </w:r>
      <w:r>
        <w:t>陳澤生</w:t>
      </w:r>
      <w:r>
        <w:t xml:space="preserve">, &amp; </w:t>
      </w:r>
      <w:r>
        <w:t>詹寶珠</w:t>
      </w:r>
      <w:r>
        <w:t xml:space="preserve">. (2001). A Fast Algorithm for Multilevel Thresholding. </w:t>
      </w:r>
      <w:r>
        <w:rPr>
          <w:i/>
          <w:iCs/>
        </w:rPr>
        <w:t>Journal of Information Science and Engineering</w:t>
      </w:r>
      <w:r>
        <w:t xml:space="preserve">, </w:t>
      </w:r>
      <w:r>
        <w:rPr>
          <w:i/>
          <w:iCs/>
        </w:rPr>
        <w:t>17</w:t>
      </w:r>
      <w:r>
        <w:t xml:space="preserve">(5). </w:t>
      </w:r>
      <w:hyperlink r:id="rId74">
        <w:r>
          <w:rPr>
            <w:rStyle w:val="Hyperlink"/>
          </w:rPr>
          <w:t>https://doi.org/10.6688/jise.2001.17.5.1</w:t>
        </w:r>
      </w:hyperlink>
      <w:bookmarkEnd w:id="48"/>
      <w:bookmarkEnd w:id="50"/>
      <w:bookmarkEnd w:id="86"/>
    </w:p>
    <w:sectPr w:rsidR="006B1FD8" w:rsidSect="00FF13D0">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6C569" w14:textId="77777777" w:rsidR="00CB33AE" w:rsidRDefault="00CB33AE">
      <w:pPr>
        <w:spacing w:after="0" w:line="240" w:lineRule="auto"/>
      </w:pPr>
      <w:r>
        <w:separator/>
      </w:r>
    </w:p>
  </w:endnote>
  <w:endnote w:type="continuationSeparator" w:id="0">
    <w:p w14:paraId="3B469B33" w14:textId="77777777" w:rsidR="00CB33AE" w:rsidRDefault="00CB3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76881" w14:textId="77777777" w:rsidR="00CB33AE" w:rsidRDefault="00CB33AE">
      <w:r>
        <w:separator/>
      </w:r>
    </w:p>
  </w:footnote>
  <w:footnote w:type="continuationSeparator" w:id="0">
    <w:p w14:paraId="5547EDFA" w14:textId="77777777" w:rsidR="00CB33AE" w:rsidRDefault="00CB33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682F8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062BDF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58413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D06E24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1C4963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8807AF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D127D7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ECA74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5E2B0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38C1E0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5378854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48241CC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170CD2DE"/>
    <w:multiLevelType w:val="multilevel"/>
    <w:tmpl w:val="5AC46EB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322243865">
    <w:abstractNumId w:val="12"/>
  </w:num>
  <w:num w:numId="2" w16cid:durableId="1030643963">
    <w:abstractNumId w:val="9"/>
  </w:num>
  <w:num w:numId="3" w16cid:durableId="1816992577">
    <w:abstractNumId w:val="7"/>
  </w:num>
  <w:num w:numId="4" w16cid:durableId="1553886744">
    <w:abstractNumId w:val="6"/>
  </w:num>
  <w:num w:numId="5" w16cid:durableId="1621915993">
    <w:abstractNumId w:val="5"/>
  </w:num>
  <w:num w:numId="6" w16cid:durableId="856576839">
    <w:abstractNumId w:val="4"/>
  </w:num>
  <w:num w:numId="7" w16cid:durableId="646204395">
    <w:abstractNumId w:val="8"/>
  </w:num>
  <w:num w:numId="8" w16cid:durableId="1305429980">
    <w:abstractNumId w:val="3"/>
  </w:num>
  <w:num w:numId="9" w16cid:durableId="293802115">
    <w:abstractNumId w:val="2"/>
  </w:num>
  <w:num w:numId="10" w16cid:durableId="2103912523">
    <w:abstractNumId w:val="1"/>
  </w:num>
  <w:num w:numId="11" w16cid:durableId="1873684539">
    <w:abstractNumId w:val="0"/>
  </w:num>
  <w:num w:numId="12" w16cid:durableId="316153314">
    <w:abstractNumId w:val="10"/>
  </w:num>
  <w:num w:numId="13" w16cid:durableId="1345086050">
    <w:abstractNumId w:val="11"/>
  </w:num>
  <w:num w:numId="14" w16cid:durableId="11111239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B1FD8"/>
    <w:rsid w:val="001450A6"/>
    <w:rsid w:val="00194686"/>
    <w:rsid w:val="001C76E4"/>
    <w:rsid w:val="001E635F"/>
    <w:rsid w:val="002644B0"/>
    <w:rsid w:val="00304806"/>
    <w:rsid w:val="004B5DB9"/>
    <w:rsid w:val="004F680B"/>
    <w:rsid w:val="00693A04"/>
    <w:rsid w:val="006B1FD8"/>
    <w:rsid w:val="00730FCB"/>
    <w:rsid w:val="008A0963"/>
    <w:rsid w:val="009076CC"/>
    <w:rsid w:val="00923264"/>
    <w:rsid w:val="009E7A95"/>
    <w:rsid w:val="00B83103"/>
    <w:rsid w:val="00CB33AE"/>
    <w:rsid w:val="00E4006A"/>
    <w:rsid w:val="00FC555B"/>
    <w:rsid w:val="00FF13D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CAF91"/>
  <w15:docId w15:val="{E7950217-6F90-424B-982E-C160EA610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0" w:defSemiHidden="0" w:defUnhideWhenUsed="0" w:defQFormat="0" w:count="376">
    <w:lsdException w:name="heading 5" w:semiHidden="1" w:unhideWhenUsed="1"/>
    <w:lsdException w:name="footnote text" w:semiHidden="1" w:unhideWhenUsed="1"/>
    <w:lsdException w:name="caption" w:semiHidden="1" w:unhideWhenUsed="1"/>
    <w:lsdException w:name="footnote reference" w:semiHidden="1" w:unhideWhenUsed="1"/>
    <w:lsdException w:name="Default Paragraph Font" w:semiHidden="1" w:unhideWhenUsed="1"/>
    <w:lsdException w:name="Body Text" w:semiHidden="1" w:unhideWhenUsed="1"/>
    <w:lsdException w:name="Date" w:semiHidden="1" w:unhideWhenUsed="1"/>
    <w:lsdException w:name="Block Text" w:semiHidden="1" w:unhideWhenUsed="1"/>
    <w:lsdException w:name="Hyperlink" w:semiHidden="1" w:unhideWhenUsed="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lsdException w:name="Smart Hyperlink" w:uiPriority="99"/>
    <w:lsdException w:name="Hashtag" w:uiPriority="99"/>
    <w:lsdException w:name="Unresolved Mention" w:uiPriority="99"/>
    <w:lsdException w:name="Smart Link" w:uiPriority="99"/>
  </w:latentStyles>
  <w:style w:type="paragraph" w:default="1" w:styleId="Normal">
    <w:name w:val="Normal"/>
    <w:rsid w:val="00966CDD"/>
    <w:rPr>
      <w:rFonts w:ascii="Arial" w:hAnsi="Arial"/>
    </w:rPr>
  </w:style>
  <w:style w:type="paragraph" w:styleId="Heading1">
    <w:name w:val="heading 1"/>
    <w:basedOn w:val="Normal"/>
    <w:next w:val="BodyText"/>
    <w:autoRedefine/>
    <w:uiPriority w:val="9"/>
    <w:rsid w:val="00917F19"/>
    <w:pPr>
      <w:keepNext/>
      <w:keepLines/>
      <w:jc w:val="center"/>
      <w:outlineLvl w:val="0"/>
    </w:pPr>
    <w:rPr>
      <w:rFonts w:eastAsiaTheme="majorEastAsia" w:cstheme="majorBidi"/>
      <w:b/>
      <w:bCs/>
      <w:sz w:val="44"/>
      <w:szCs w:val="32"/>
    </w:rPr>
  </w:style>
  <w:style w:type="paragraph" w:styleId="Heading2">
    <w:name w:val="heading 2"/>
    <w:basedOn w:val="Normal"/>
    <w:next w:val="BodyText"/>
    <w:autoRedefine/>
    <w:uiPriority w:val="9"/>
    <w:rsid w:val="00A103BA"/>
    <w:pPr>
      <w:keepNext/>
      <w:keepLines/>
      <w:outlineLvl w:val="1"/>
    </w:pPr>
    <w:rPr>
      <w:rFonts w:eastAsiaTheme="majorEastAsia" w:cstheme="majorBidi"/>
      <w:b/>
      <w:bCs/>
      <w:sz w:val="36"/>
      <w:szCs w:val="28"/>
    </w:rPr>
  </w:style>
  <w:style w:type="paragraph" w:styleId="Heading3">
    <w:name w:val="heading 3"/>
    <w:basedOn w:val="Normal"/>
    <w:next w:val="BodyText"/>
    <w:autoRedefine/>
    <w:uiPriority w:val="9"/>
    <w:rsid w:val="006764A2"/>
    <w:pPr>
      <w:keepNext/>
      <w:keepLines/>
      <w:outlineLvl w:val="2"/>
    </w:pPr>
    <w:rPr>
      <w:rFonts w:eastAsiaTheme="majorEastAsia" w:cstheme="majorBidi"/>
      <w:b/>
      <w:bCs/>
      <w:sz w:val="30"/>
      <w:szCs w:val="24"/>
    </w:rPr>
  </w:style>
  <w:style w:type="paragraph" w:styleId="Heading4">
    <w:name w:val="heading 4"/>
    <w:basedOn w:val="Normal"/>
    <w:next w:val="BodyText"/>
    <w:autoRedefine/>
    <w:uiPriority w:val="9"/>
    <w:rsid w:val="006764A2"/>
    <w:pPr>
      <w:keepNext/>
      <w:keepLines/>
      <w:outlineLvl w:val="3"/>
    </w:pPr>
    <w:rPr>
      <w:rFonts w:eastAsiaTheme="majorEastAsia" w:cstheme="majorBidi"/>
      <w:b/>
      <w:bCs/>
      <w:sz w:val="26"/>
      <w:szCs w:val="24"/>
    </w:rPr>
  </w:style>
  <w:style w:type="paragraph" w:styleId="Heading5">
    <w:name w:val="heading 5"/>
    <w:basedOn w:val="Normal"/>
    <w:next w:val="BodyText"/>
    <w:autoRedefine/>
    <w:uiPriority w:val="9"/>
    <w:rsid w:val="006764A2"/>
    <w:pPr>
      <w:keepNext/>
      <w:keepLines/>
      <w:outlineLvl w:val="4"/>
    </w:pPr>
    <w:rPr>
      <w:rFonts w:eastAsiaTheme="majorEastAsia" w:cstheme="majorBidi"/>
      <w:b/>
      <w:iCs/>
      <w:sz w:val="24"/>
      <w:szCs w:val="24"/>
    </w:rPr>
  </w:style>
  <w:style w:type="paragraph" w:styleId="Heading6">
    <w:name w:val="heading 6"/>
    <w:basedOn w:val="Normal"/>
    <w:next w:val="BodyText"/>
    <w:autoRedefine/>
    <w:uiPriority w:val="9"/>
    <w:rsid w:val="0045149C"/>
    <w:pPr>
      <w:keepNext/>
      <w:keepLines/>
      <w:outlineLvl w:val="5"/>
    </w:pPr>
    <w:rPr>
      <w:rFonts w:eastAsiaTheme="majorEastAsia" w:cstheme="majorBidi"/>
      <w:b/>
      <w:szCs w:val="24"/>
    </w:rPr>
  </w:style>
  <w:style w:type="paragraph" w:styleId="Heading7">
    <w:name w:val="heading 7"/>
    <w:basedOn w:val="Normal"/>
    <w:next w:val="BodyText"/>
    <w:autoRedefine/>
    <w:uiPriority w:val="9"/>
    <w:rsid w:val="007D46E5"/>
    <w:pPr>
      <w:keepNext/>
      <w:keepLines/>
      <w:outlineLvl w:val="6"/>
    </w:pPr>
    <w:rPr>
      <w:rFonts w:eastAsiaTheme="majorEastAsia" w:cstheme="majorBidi"/>
      <w:b/>
      <w:szCs w:val="24"/>
    </w:rPr>
  </w:style>
  <w:style w:type="paragraph" w:styleId="Heading8">
    <w:name w:val="heading 8"/>
    <w:basedOn w:val="Normal"/>
    <w:next w:val="BodyText"/>
    <w:autoRedefine/>
    <w:uiPriority w:val="9"/>
    <w:rsid w:val="007D46E5"/>
    <w:pPr>
      <w:keepNext/>
      <w:keepLines/>
      <w:outlineLvl w:val="7"/>
    </w:pPr>
    <w:rPr>
      <w:rFonts w:eastAsiaTheme="majorEastAsia" w:cstheme="majorBidi"/>
      <w:b/>
      <w:szCs w:val="24"/>
    </w:rPr>
  </w:style>
  <w:style w:type="paragraph" w:styleId="Heading9">
    <w:name w:val="heading 9"/>
    <w:basedOn w:val="Normal"/>
    <w:next w:val="BodyText"/>
    <w:autoRedefine/>
    <w:uiPriority w:val="9"/>
    <w:rsid w:val="00816895"/>
    <w:pPr>
      <w:keepNext/>
      <w:keepLines/>
      <w:outlineLvl w:val="8"/>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autoRedefine/>
    <w:rsid w:val="00316091"/>
  </w:style>
  <w:style w:type="paragraph" w:customStyle="1" w:styleId="FirstParagraph">
    <w:name w:val="First Paragraph"/>
    <w:basedOn w:val="BodyText"/>
    <w:next w:val="BodyText"/>
  </w:style>
  <w:style w:type="paragraph" w:customStyle="1" w:styleId="Compact">
    <w:name w:val="Compact"/>
    <w:basedOn w:val="BodyText"/>
    <w:autoRedefine/>
    <w:pPr>
      <w:spacing w:before="36" w:after="36"/>
    </w:pPr>
  </w:style>
  <w:style w:type="paragraph" w:styleId="Title">
    <w:name w:val="Title"/>
    <w:basedOn w:val="Normal"/>
    <w:next w:val="BodyText"/>
    <w:autoRedefine/>
    <w:rsid w:val="003F02CC"/>
    <w:pPr>
      <w:keepNext/>
      <w:keepLines/>
      <w:jc w:val="center"/>
    </w:pPr>
    <w:rPr>
      <w:rFonts w:eastAsiaTheme="majorEastAsia" w:cstheme="majorBidi"/>
      <w:b/>
      <w:bCs/>
      <w:sz w:val="44"/>
      <w:szCs w:val="36"/>
    </w:rPr>
  </w:style>
  <w:style w:type="paragraph" w:styleId="Subtitle">
    <w:name w:val="Subtitle"/>
    <w:basedOn w:val="Title"/>
    <w:next w:val="BodyText"/>
    <w:autoRedefine/>
    <w:rsid w:val="003F02CC"/>
    <w:rPr>
      <w:sz w:val="36"/>
      <w:szCs w:val="30"/>
    </w:rPr>
  </w:style>
  <w:style w:type="paragraph" w:customStyle="1" w:styleId="Author">
    <w:name w:val="Author"/>
    <w:basedOn w:val="Normal"/>
    <w:next w:val="BodyText"/>
    <w:autoRedefine/>
    <w:pPr>
      <w:keepNext/>
      <w:keepLines/>
      <w:jc w:val="center"/>
    </w:pPr>
  </w:style>
  <w:style w:type="paragraph" w:styleId="Date">
    <w:name w:val="Date"/>
    <w:basedOn w:val="Normal"/>
    <w:next w:val="BodyText"/>
    <w:pPr>
      <w:keepNext/>
      <w:keepLines/>
      <w:jc w:val="center"/>
    </w:pPr>
  </w:style>
  <w:style w:type="paragraph" w:customStyle="1" w:styleId="Abstract">
    <w:name w:val="Abstract"/>
    <w:basedOn w:val="Normal"/>
    <w:next w:val="BodyText"/>
    <w:autoRedefine/>
    <w:rsid w:val="000D0DB1"/>
    <w:pPr>
      <w:keepNext/>
      <w:keepLines/>
    </w:pPr>
    <w:rPr>
      <w:szCs w:val="20"/>
    </w:rPr>
  </w:style>
  <w:style w:type="paragraph" w:styleId="Bibliography">
    <w:name w:val="Bibliography"/>
    <w:basedOn w:val="Normal"/>
  </w:style>
  <w:style w:type="paragraph" w:styleId="BlockText">
    <w:name w:val="Block Text"/>
    <w:basedOn w:val="BodyText"/>
    <w:next w:val="BodyText"/>
    <w:uiPriority w:val="9"/>
    <w:rsid w:val="002E757C"/>
    <w:pPr>
      <w:ind w:left="360" w:right="360"/>
    </w:pPr>
  </w:style>
  <w:style w:type="paragraph" w:styleId="FootnoteText">
    <w:name w:val="footnote text"/>
    <w:basedOn w:val="Normal"/>
    <w:autoRedefine/>
    <w:uiPriority w:val="9"/>
  </w:style>
  <w:style w:type="table" w:customStyle="1" w:styleId="Table">
    <w:name w:val="Table"/>
    <w:semiHidden/>
    <w:unhideWhenUsed/>
    <w:qFormat/>
    <w:rsid w:val="00920B49"/>
    <w:rPr>
      <w:rFonts w:ascii="Arial" w:hAnsi="Arial"/>
      <w:sz w:val="20"/>
      <w:szCs w:val="20"/>
      <w:lang w:val="de-CH" w:eastAsia="de-C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b/>
      </w:rPr>
    </w:tblStylePr>
  </w:style>
  <w:style w:type="paragraph" w:customStyle="1" w:styleId="DefinitionTerm">
    <w:name w:val="Definition Term"/>
    <w:basedOn w:val="Normal"/>
    <w:next w:val="Definition"/>
    <w:autoRedefine/>
    <w:rsid w:val="00443643"/>
    <w:rPr>
      <w:b/>
    </w:rPr>
  </w:style>
  <w:style w:type="paragraph" w:customStyle="1" w:styleId="Definition">
    <w:name w:val="Definition"/>
    <w:basedOn w:val="Normal"/>
    <w:autoRedefine/>
    <w:rsid w:val="008C6903"/>
  </w:style>
  <w:style w:type="paragraph" w:styleId="Caption">
    <w:name w:val="caption"/>
    <w:basedOn w:val="Normal"/>
    <w:link w:val="CaptionChar"/>
    <w:pPr>
      <w:spacing w:after="120"/>
    </w:pPr>
    <w:rPr>
      <w:i/>
    </w:rPr>
  </w:style>
  <w:style w:type="paragraph" w:customStyle="1" w:styleId="TableCaption">
    <w:name w:val="Table Caption"/>
    <w:basedOn w:val="Caption"/>
    <w:autoRedefine/>
    <w:rsid w:val="00A103BA"/>
    <w:pPr>
      <w:keepNext/>
    </w:pPr>
  </w:style>
  <w:style w:type="paragraph" w:customStyle="1" w:styleId="ImageCaption">
    <w:name w:val="Image Caption"/>
    <w:basedOn w:val="Caption"/>
    <w:autoRedefin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6E43F9"/>
    <w:rPr>
      <w:i/>
    </w:rPr>
  </w:style>
  <w:style w:type="character" w:customStyle="1" w:styleId="VerbatimChar">
    <w:name w:val="Verbatim Char"/>
    <w:basedOn w:val="CaptionChar"/>
    <w:link w:val="SourceCode"/>
    <w:rsid w:val="00B97DB2"/>
    <w:rPr>
      <w:rFonts w:ascii="Courier New" w:hAnsi="Courier New"/>
      <w:i w:val="0"/>
      <w:sz w:val="22"/>
    </w:rPr>
  </w:style>
  <w:style w:type="character" w:styleId="FootnoteReference">
    <w:name w:val="footnote reference"/>
    <w:basedOn w:val="CaptionChar"/>
    <w:rPr>
      <w:i/>
      <w:vertAlign w:val="superscript"/>
    </w:rPr>
  </w:style>
  <w:style w:type="character" w:styleId="Hyperlink">
    <w:name w:val="Hyperlink"/>
    <w:basedOn w:val="CaptionChar"/>
    <w:rsid w:val="00B97DB2"/>
    <w:rPr>
      <w:rFonts w:ascii="Arial" w:hAnsi="Arial"/>
      <w:i w:val="0"/>
      <w:color w:val="0000FF"/>
      <w:sz w:val="22"/>
      <w:u w:val="single"/>
    </w:rPr>
  </w:style>
  <w:style w:type="paragraph" w:styleId="TOCHeading">
    <w:name w:val="TOC Heading"/>
    <w:basedOn w:val="Heading1"/>
    <w:next w:val="BodyText"/>
    <w:uiPriority w:val="39"/>
    <w:pPr>
      <w:spacing w:line="259" w:lineRule="auto"/>
      <w:outlineLvl w:val="9"/>
    </w:pPr>
    <w:rPr>
      <w:rFonts w:asciiTheme="majorHAnsi" w:hAnsiTheme="majorHAnsi"/>
      <w:b w:val="0"/>
      <w:bCs w:val="0"/>
      <w:color w:val="365F91" w:themeColor="accent1" w:themeShade="BF"/>
    </w:rPr>
  </w:style>
  <w:style w:type="paragraph" w:styleId="Header">
    <w:name w:val="header"/>
    <w:basedOn w:val="Normal"/>
    <w:link w:val="HeaderChar"/>
    <w:rsid w:val="008C6903"/>
    <w:pPr>
      <w:tabs>
        <w:tab w:val="center" w:pos="4680"/>
        <w:tab w:val="right" w:pos="9360"/>
      </w:tabs>
      <w:spacing w:after="0" w:line="240" w:lineRule="auto"/>
    </w:pPr>
  </w:style>
  <w:style w:type="character" w:customStyle="1" w:styleId="BodyTextChar">
    <w:name w:val="Body Text Char"/>
    <w:basedOn w:val="DefaultParagraphFont"/>
    <w:link w:val="BodyText"/>
    <w:rsid w:val="00316091"/>
    <w:rPr>
      <w:rFonts w:ascii="Arial" w:hAnsi="Arial"/>
    </w:rPr>
  </w:style>
  <w:style w:type="character" w:customStyle="1" w:styleId="HeaderChar">
    <w:name w:val="Header Char"/>
    <w:basedOn w:val="DefaultParagraphFont"/>
    <w:link w:val="Header"/>
    <w:rsid w:val="008C6903"/>
    <w:rPr>
      <w:rFonts w:ascii="Arial" w:hAnsi="Arial"/>
    </w:rPr>
  </w:style>
  <w:style w:type="paragraph" w:styleId="Footer">
    <w:name w:val="footer"/>
    <w:basedOn w:val="Normal"/>
    <w:link w:val="FooterChar"/>
    <w:rsid w:val="008C6903"/>
    <w:pPr>
      <w:tabs>
        <w:tab w:val="center" w:pos="4680"/>
        <w:tab w:val="right" w:pos="9360"/>
      </w:tabs>
      <w:spacing w:after="0" w:line="240" w:lineRule="auto"/>
    </w:pPr>
  </w:style>
  <w:style w:type="character" w:customStyle="1" w:styleId="FooterChar">
    <w:name w:val="Footer Char"/>
    <w:basedOn w:val="DefaultParagraphFont"/>
    <w:link w:val="Footer"/>
    <w:rsid w:val="008C6903"/>
    <w:rPr>
      <w:rFonts w:ascii="Arial" w:hAnsi="Arial"/>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urier New" w:hAnsi="Courier New"/>
      <w:b/>
      <w:i w:val="0"/>
      <w:color w:val="007020"/>
      <w:sz w:val="22"/>
    </w:rPr>
  </w:style>
  <w:style w:type="character" w:customStyle="1" w:styleId="DataTypeTok">
    <w:name w:val="DataTypeTok"/>
    <w:basedOn w:val="VerbatimChar"/>
    <w:rPr>
      <w:rFonts w:ascii="Courier New" w:hAnsi="Courier New"/>
      <w:i w:val="0"/>
      <w:color w:val="902000"/>
      <w:sz w:val="22"/>
    </w:rPr>
  </w:style>
  <w:style w:type="character" w:customStyle="1" w:styleId="DecValTok">
    <w:name w:val="DecValTok"/>
    <w:basedOn w:val="VerbatimChar"/>
    <w:rPr>
      <w:rFonts w:ascii="Courier New" w:hAnsi="Courier New"/>
      <w:i w:val="0"/>
      <w:color w:val="40A070"/>
      <w:sz w:val="22"/>
    </w:rPr>
  </w:style>
  <w:style w:type="character" w:customStyle="1" w:styleId="BaseNTok">
    <w:name w:val="BaseNTok"/>
    <w:basedOn w:val="VerbatimChar"/>
    <w:rPr>
      <w:rFonts w:ascii="Courier New" w:hAnsi="Courier New"/>
      <w:i w:val="0"/>
      <w:color w:val="40A070"/>
      <w:sz w:val="22"/>
    </w:rPr>
  </w:style>
  <w:style w:type="character" w:customStyle="1" w:styleId="FloatTok">
    <w:name w:val="FloatTok"/>
    <w:basedOn w:val="VerbatimChar"/>
    <w:rPr>
      <w:rFonts w:ascii="Courier New" w:hAnsi="Courier New"/>
      <w:i w:val="0"/>
      <w:color w:val="40A070"/>
      <w:sz w:val="22"/>
    </w:rPr>
  </w:style>
  <w:style w:type="character" w:customStyle="1" w:styleId="ConstantTok">
    <w:name w:val="ConstantTok"/>
    <w:basedOn w:val="VerbatimChar"/>
    <w:rPr>
      <w:rFonts w:ascii="Courier New" w:hAnsi="Courier New"/>
      <w:i w:val="0"/>
      <w:color w:val="880000"/>
      <w:sz w:val="22"/>
    </w:rPr>
  </w:style>
  <w:style w:type="character" w:customStyle="1" w:styleId="CharTok">
    <w:name w:val="CharTok"/>
    <w:basedOn w:val="VerbatimChar"/>
    <w:rPr>
      <w:rFonts w:ascii="Courier New" w:hAnsi="Courier New"/>
      <w:i w:val="0"/>
      <w:color w:val="4070A0"/>
      <w:sz w:val="22"/>
    </w:rPr>
  </w:style>
  <w:style w:type="character" w:customStyle="1" w:styleId="SpecialCharTok">
    <w:name w:val="SpecialCharTok"/>
    <w:basedOn w:val="VerbatimChar"/>
    <w:rPr>
      <w:rFonts w:ascii="Courier New" w:hAnsi="Courier New"/>
      <w:i w:val="0"/>
      <w:color w:val="4070A0"/>
      <w:sz w:val="22"/>
    </w:rPr>
  </w:style>
  <w:style w:type="character" w:customStyle="1" w:styleId="StringTok">
    <w:name w:val="StringTok"/>
    <w:basedOn w:val="VerbatimChar"/>
    <w:rPr>
      <w:rFonts w:ascii="Courier New" w:hAnsi="Courier New"/>
      <w:i w:val="0"/>
      <w:color w:val="4070A0"/>
      <w:sz w:val="22"/>
    </w:rPr>
  </w:style>
  <w:style w:type="character" w:customStyle="1" w:styleId="VerbatimStringTok">
    <w:name w:val="VerbatimStringTok"/>
    <w:basedOn w:val="VerbatimChar"/>
    <w:rPr>
      <w:rFonts w:ascii="Courier New" w:hAnsi="Courier New"/>
      <w:i w:val="0"/>
      <w:color w:val="4070A0"/>
      <w:sz w:val="22"/>
    </w:rPr>
  </w:style>
  <w:style w:type="character" w:customStyle="1" w:styleId="SpecialStringTok">
    <w:name w:val="SpecialStringTok"/>
    <w:basedOn w:val="VerbatimChar"/>
    <w:rPr>
      <w:rFonts w:ascii="Courier New" w:hAnsi="Courier New"/>
      <w:i w:val="0"/>
      <w:color w:val="BB6688"/>
      <w:sz w:val="22"/>
    </w:rPr>
  </w:style>
  <w:style w:type="character" w:customStyle="1" w:styleId="ImportTok">
    <w:name w:val="ImportTok"/>
    <w:basedOn w:val="VerbatimChar"/>
    <w:rPr>
      <w:rFonts w:ascii="Courier New" w:hAnsi="Courier New"/>
      <w:b/>
      <w:i w:val="0"/>
      <w:color w:val="008000"/>
      <w:sz w:val="22"/>
    </w:rPr>
  </w:style>
  <w:style w:type="character" w:customStyle="1" w:styleId="CommentTok">
    <w:name w:val="CommentTok"/>
    <w:basedOn w:val="VerbatimChar"/>
    <w:rPr>
      <w:rFonts w:ascii="Courier New" w:hAnsi="Courier New"/>
      <w:i/>
      <w:color w:val="60A0B0"/>
      <w:sz w:val="22"/>
    </w:rPr>
  </w:style>
  <w:style w:type="character" w:customStyle="1" w:styleId="DocumentationTok">
    <w:name w:val="DocumentationTok"/>
    <w:basedOn w:val="VerbatimChar"/>
    <w:rPr>
      <w:rFonts w:ascii="Courier New" w:hAnsi="Courier New"/>
      <w:i/>
      <w:color w:val="BA2121"/>
      <w:sz w:val="22"/>
    </w:rPr>
  </w:style>
  <w:style w:type="character" w:customStyle="1" w:styleId="AnnotationTok">
    <w:name w:val="AnnotationTok"/>
    <w:basedOn w:val="VerbatimChar"/>
    <w:rPr>
      <w:rFonts w:ascii="Courier New" w:hAnsi="Courier New"/>
      <w:b/>
      <w:i/>
      <w:color w:val="60A0B0"/>
      <w:sz w:val="22"/>
    </w:rPr>
  </w:style>
  <w:style w:type="character" w:customStyle="1" w:styleId="CommentVarTok">
    <w:name w:val="CommentVarTok"/>
    <w:basedOn w:val="VerbatimChar"/>
    <w:rPr>
      <w:rFonts w:ascii="Courier New" w:hAnsi="Courier New"/>
      <w:b/>
      <w:i/>
      <w:color w:val="60A0B0"/>
      <w:sz w:val="22"/>
    </w:rPr>
  </w:style>
  <w:style w:type="character" w:customStyle="1" w:styleId="OtherTok">
    <w:name w:val="OtherTok"/>
    <w:basedOn w:val="VerbatimChar"/>
    <w:rPr>
      <w:rFonts w:ascii="Courier New" w:hAnsi="Courier New"/>
      <w:i w:val="0"/>
      <w:color w:val="007020"/>
      <w:sz w:val="22"/>
    </w:rPr>
  </w:style>
  <w:style w:type="character" w:customStyle="1" w:styleId="FunctionTok">
    <w:name w:val="FunctionTok"/>
    <w:basedOn w:val="VerbatimChar"/>
    <w:rPr>
      <w:rFonts w:ascii="Courier New" w:hAnsi="Courier New"/>
      <w:i w:val="0"/>
      <w:color w:val="06287E"/>
      <w:sz w:val="22"/>
    </w:rPr>
  </w:style>
  <w:style w:type="character" w:customStyle="1" w:styleId="VariableTok">
    <w:name w:val="VariableTok"/>
    <w:basedOn w:val="VerbatimChar"/>
    <w:rPr>
      <w:rFonts w:ascii="Courier New" w:hAnsi="Courier New"/>
      <w:i w:val="0"/>
      <w:color w:val="19177C"/>
      <w:sz w:val="22"/>
    </w:rPr>
  </w:style>
  <w:style w:type="character" w:customStyle="1" w:styleId="ControlFlowTok">
    <w:name w:val="ControlFlowTok"/>
    <w:basedOn w:val="VerbatimChar"/>
    <w:rPr>
      <w:rFonts w:ascii="Courier New" w:hAnsi="Courier New"/>
      <w:b/>
      <w:i w:val="0"/>
      <w:color w:val="007020"/>
      <w:sz w:val="22"/>
    </w:rPr>
  </w:style>
  <w:style w:type="character" w:customStyle="1" w:styleId="OperatorTok">
    <w:name w:val="OperatorTok"/>
    <w:basedOn w:val="VerbatimChar"/>
    <w:rPr>
      <w:rFonts w:ascii="Courier New" w:hAnsi="Courier New"/>
      <w:i w:val="0"/>
      <w:color w:val="666666"/>
      <w:sz w:val="22"/>
    </w:rPr>
  </w:style>
  <w:style w:type="character" w:customStyle="1" w:styleId="BuiltInTok">
    <w:name w:val="BuiltInTok"/>
    <w:basedOn w:val="VerbatimChar"/>
    <w:rPr>
      <w:rFonts w:ascii="Courier New" w:hAnsi="Courier New"/>
      <w:i w:val="0"/>
      <w:color w:val="008000"/>
      <w:sz w:val="22"/>
    </w:rPr>
  </w:style>
  <w:style w:type="character" w:customStyle="1" w:styleId="ExtensionTok">
    <w:name w:val="ExtensionTok"/>
    <w:basedOn w:val="VerbatimChar"/>
    <w:rPr>
      <w:rFonts w:ascii="Courier New" w:hAnsi="Courier New"/>
      <w:i w:val="0"/>
      <w:sz w:val="22"/>
    </w:rPr>
  </w:style>
  <w:style w:type="character" w:customStyle="1" w:styleId="PreprocessorTok">
    <w:name w:val="PreprocessorTok"/>
    <w:basedOn w:val="VerbatimChar"/>
    <w:rPr>
      <w:rFonts w:ascii="Courier New" w:hAnsi="Courier New"/>
      <w:i w:val="0"/>
      <w:color w:val="BC7A00"/>
      <w:sz w:val="22"/>
    </w:rPr>
  </w:style>
  <w:style w:type="character" w:customStyle="1" w:styleId="AttributeTok">
    <w:name w:val="AttributeTok"/>
    <w:basedOn w:val="VerbatimChar"/>
    <w:rPr>
      <w:rFonts w:ascii="Courier New" w:hAnsi="Courier New"/>
      <w:i w:val="0"/>
      <w:color w:val="7D9029"/>
      <w:sz w:val="22"/>
    </w:rPr>
  </w:style>
  <w:style w:type="character" w:customStyle="1" w:styleId="RegionMarkerTok">
    <w:name w:val="RegionMarkerTok"/>
    <w:basedOn w:val="VerbatimChar"/>
    <w:rPr>
      <w:rFonts w:ascii="Courier New" w:hAnsi="Courier New"/>
      <w:i w:val="0"/>
      <w:sz w:val="22"/>
    </w:rPr>
  </w:style>
  <w:style w:type="character" w:customStyle="1" w:styleId="InformationTok">
    <w:name w:val="InformationTok"/>
    <w:basedOn w:val="VerbatimChar"/>
    <w:rPr>
      <w:rFonts w:ascii="Courier New" w:hAnsi="Courier New"/>
      <w:b/>
      <w:i/>
      <w:color w:val="60A0B0"/>
      <w:sz w:val="22"/>
    </w:rPr>
  </w:style>
  <w:style w:type="character" w:customStyle="1" w:styleId="WarningTok">
    <w:name w:val="WarningTok"/>
    <w:basedOn w:val="VerbatimChar"/>
    <w:rPr>
      <w:rFonts w:ascii="Courier New" w:hAnsi="Courier New"/>
      <w:b/>
      <w:i/>
      <w:color w:val="60A0B0"/>
      <w:sz w:val="22"/>
    </w:rPr>
  </w:style>
  <w:style w:type="character" w:customStyle="1" w:styleId="AlertTok">
    <w:name w:val="AlertTok"/>
    <w:basedOn w:val="VerbatimChar"/>
    <w:rPr>
      <w:rFonts w:ascii="Courier New" w:hAnsi="Courier New"/>
      <w:b/>
      <w:i w:val="0"/>
      <w:color w:val="FF0000"/>
      <w:sz w:val="22"/>
    </w:rPr>
  </w:style>
  <w:style w:type="character" w:customStyle="1" w:styleId="ErrorTok">
    <w:name w:val="ErrorTok"/>
    <w:basedOn w:val="VerbatimChar"/>
    <w:rPr>
      <w:rFonts w:ascii="Courier New" w:hAnsi="Courier New"/>
      <w:b/>
      <w:i w:val="0"/>
      <w:color w:val="FF0000"/>
      <w:sz w:val="22"/>
    </w:rPr>
  </w:style>
  <w:style w:type="character" w:customStyle="1" w:styleId="NormalTok">
    <w:name w:val="NormalTok"/>
    <w:basedOn w:val="VerbatimChar"/>
    <w:rPr>
      <w:rFonts w:ascii="Courier New" w:hAnsi="Courier New"/>
      <w:i w:val="0"/>
      <w:sz w:val="22"/>
    </w:rPr>
  </w:style>
  <w:style w:type="character" w:styleId="FollowedHyperlink">
    <w:name w:val="FollowedHyperlink"/>
    <w:basedOn w:val="DefaultParagraphFont"/>
    <w:rsid w:val="00FC555B"/>
    <w:rPr>
      <w:color w:val="800080" w:themeColor="followedHyperlink"/>
      <w:u w:val="single"/>
    </w:rPr>
  </w:style>
  <w:style w:type="character" w:styleId="UnresolvedMention">
    <w:name w:val="Unresolved Mention"/>
    <w:basedOn w:val="DefaultParagraphFont"/>
    <w:uiPriority w:val="99"/>
    <w:rsid w:val="001C76E4"/>
    <w:rPr>
      <w:color w:val="605E5C"/>
      <w:shd w:val="clear" w:color="auto" w:fill="E1DFDD"/>
    </w:rPr>
  </w:style>
  <w:style w:type="character" w:styleId="LineNumber">
    <w:name w:val="line number"/>
    <w:basedOn w:val="DefaultParagraphFont"/>
    <w:rsid w:val="003048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5.png"/><Relationship Id="rId42" Type="http://schemas.openxmlformats.org/officeDocument/2006/relationships/hyperlink" Target="https://doi.org/10.3789/ansi.niso.z39.104-2022" TargetMode="External"/><Relationship Id="rId47" Type="http://schemas.openxmlformats.org/officeDocument/2006/relationships/hyperlink" Target="https://doi.org/10.1371/journal.pone.0193874" TargetMode="External"/><Relationship Id="rId63" Type="http://schemas.openxmlformats.org/officeDocument/2006/relationships/hyperlink" Target="https://www.R-project.org/" TargetMode="External"/><Relationship Id="rId68" Type="http://schemas.openxmlformats.org/officeDocument/2006/relationships/hyperlink" Target="https://doi.org/10.1086/285404" TargetMode="External"/><Relationship Id="rId2" Type="http://schemas.openxmlformats.org/officeDocument/2006/relationships/styles" Target="styles.xml"/><Relationship Id="rId16" Type="http://schemas.openxmlformats.org/officeDocument/2006/relationships/hyperlink" Target="https://anonymous.4open.science/r/sticklebacks-01A4/BucketSeparator.ipynb" TargetMode="External"/><Relationship Id="rId29" Type="http://schemas.openxmlformats.org/officeDocument/2006/relationships/hyperlink" Target="https://search.r-project.org/CRAN/refmans/geomorph/html/gm.prcomp.html" TargetMode="External"/><Relationship Id="rId11" Type="http://schemas.openxmlformats.org/officeDocument/2006/relationships/hyperlink" Target="https://anonymous.4open.science/r/sticklebacks-01A4/rsync-sticklebacks.sh" TargetMode="External"/><Relationship Id="rId24" Type="http://schemas.openxmlformats.org/officeDocument/2006/relationships/hyperlink" Target="https://teem.sourceforge.net/nrrd/" TargetMode="External"/><Relationship Id="rId32" Type="http://schemas.openxmlformats.org/officeDocument/2006/relationships/hyperlink" Target="https://www.longair.net/edinburgh/imagej/three-pane-crop/" TargetMode="External"/><Relationship Id="rId37" Type="http://schemas.openxmlformats.org/officeDocument/2006/relationships/image" Target="media/image12.png"/><Relationship Id="rId40" Type="http://schemas.openxmlformats.org/officeDocument/2006/relationships/hyperlink" Target="https://anonymous.4open.science/r/sticklebacks-01A4/logfiles/" TargetMode="External"/><Relationship Id="rId45" Type="http://schemas.openxmlformats.org/officeDocument/2006/relationships/hyperlink" Target="https://doi.org/10.1093/oso/9780198577287.001.0001" TargetMode="External"/><Relationship Id="rId53" Type="http://schemas.openxmlformats.org/officeDocument/2006/relationships/hyperlink" Target="https://doi.org/10.3791/54056" TargetMode="External"/><Relationship Id="rId58" Type="http://schemas.openxmlformats.org/officeDocument/2006/relationships/hyperlink" Target="https://doi.org/10.3233/978-1-61499-649-1-87" TargetMode="External"/><Relationship Id="rId66" Type="http://schemas.openxmlformats.org/officeDocument/2006/relationships/hyperlink" Target="https://doi.org/10.1111/2041-210x.13669" TargetMode="External"/><Relationship Id="rId74" Type="http://schemas.openxmlformats.org/officeDocument/2006/relationships/hyperlink" Target="https://doi.org/10.6688/jise.2001.17.5.1" TargetMode="External"/><Relationship Id="rId5" Type="http://schemas.openxmlformats.org/officeDocument/2006/relationships/footnotes" Target="footnotes.xml"/><Relationship Id="rId61" Type="http://schemas.openxmlformats.org/officeDocument/2006/relationships/hyperlink" Target="https://doi.org/10.2144/000112619" TargetMode="External"/><Relationship Id="rId19" Type="http://schemas.openxmlformats.org/officeDocument/2006/relationships/hyperlink" Target="https://scikit-image.org/docs/stable/api/skimage.measure.html" TargetMode="External"/><Relationship Id="rId14" Type="http://schemas.openxmlformats.org/officeDocument/2006/relationships/hyperlink" Target="https://image.dask.org/en/latest/dask_image.imread.html" TargetMode="External"/><Relationship Id="rId22" Type="http://schemas.openxmlformats.org/officeDocument/2006/relationships/hyperlink" Target="https://anonymous.4open.science/r/sticklebacks-01A4/logfiles/BucketOfFish_H/rec_regions/SL.X23.016/SL.X23.016.log" TargetMode="External"/><Relationship Id="rId27" Type="http://schemas.openxmlformats.org/officeDocument/2006/relationships/image" Target="media/image9.png"/><Relationship Id="rId30" Type="http://schemas.openxmlformats.org/officeDocument/2006/relationships/hyperlink" Target="https://search.r-project.org/CRAN/refmans/geomorph/html/procD.lm.html" TargetMode="External"/><Relationship Id="rId35" Type="http://schemas.openxmlformats.org/officeDocument/2006/relationships/image" Target="media/image10.png"/><Relationship Id="rId43" Type="http://schemas.openxmlformats.org/officeDocument/2006/relationships/hyperlink" Target="https://doi.org/10.32614/cran.package.geomorph" TargetMode="External"/><Relationship Id="rId48" Type="http://schemas.openxmlformats.org/officeDocument/2006/relationships/hyperlink" Target="https://doi.org/10.1111/2041-210x.13029" TargetMode="External"/><Relationship Id="rId56" Type="http://schemas.openxmlformats.org/officeDocument/2006/relationships/hyperlink" Target="https://doi.org/10.1371/journal.pcbi.1007128" TargetMode="External"/><Relationship Id="rId64" Type="http://schemas.openxmlformats.org/officeDocument/2006/relationships/hyperlink" Target="https://doi.org/10.1186/s12915-020-0753-2" TargetMode="External"/><Relationship Id="rId69" Type="http://schemas.openxmlformats.org/officeDocument/2006/relationships/hyperlink" Target="https://doi.org/10.5281/zenodo.3555620" TargetMode="External"/><Relationship Id="rId8" Type="http://schemas.openxmlformats.org/officeDocument/2006/relationships/hyperlink" Target="https://openscad.org/" TargetMode="External"/><Relationship Id="rId51" Type="http://schemas.openxmlformats.org/officeDocument/2006/relationships/hyperlink" Target="https://anonymous.4open.science/r/sticklebacks-01A4/PreviewScans.ipynb" TargetMode="External"/><Relationship Id="rId72" Type="http://schemas.openxmlformats.org/officeDocument/2006/relationships/hyperlink" Target="https://orbi.uliege.be/handle/2268/14698" TargetMode="External"/><Relationship Id="rId3" Type="http://schemas.openxmlformats.org/officeDocument/2006/relationships/settings" Target="settings.xml"/><Relationship Id="rId12" Type="http://schemas.openxmlformats.org/officeDocument/2006/relationships/hyperlink" Target="https://anonymous.4open.science/status/sticklebacks-01A4%5d" TargetMode="External"/><Relationship Id="rId17" Type="http://schemas.openxmlformats.org/officeDocument/2006/relationships/hyperlink" Target="https://www.dask.org/" TargetMode="External"/><Relationship Id="rId25" Type="http://schemas.openxmlformats.org/officeDocument/2006/relationships/image" Target="media/image7.png"/><Relationship Id="rId33" Type="http://schemas.openxmlformats.org/officeDocument/2006/relationships/hyperlink" Target="https://anonymous.4open.science/r/sticklebacks-01A4/logfiles/Sticklebucket_10/rec_regions/FG.X24.027/FG.X24.027.log" TargetMode="External"/><Relationship Id="rId38" Type="http://schemas.openxmlformats.org/officeDocument/2006/relationships/image" Target="media/image13.png"/><Relationship Id="rId46" Type="http://schemas.openxmlformats.org/officeDocument/2006/relationships/hyperlink" Target="https://doi.org/10.1111/j.1420-9101.2008.01583.x" TargetMode="External"/><Relationship Id="rId59" Type="http://schemas.openxmlformats.org/officeDocument/2006/relationships/hyperlink" Target="https://doi.org/10.1038/s41467-020-19303-w" TargetMode="External"/><Relationship Id="rId67" Type="http://schemas.openxmlformats.org/officeDocument/2006/relationships/hyperlink" Target="https://doi.org/10.1038/nmeth.2019" TargetMode="External"/><Relationship Id="rId20" Type="http://schemas.openxmlformats.org/officeDocument/2006/relationships/image" Target="media/image4.png"/><Relationship Id="rId41" Type="http://schemas.openxmlformats.org/officeDocument/2006/relationships/hyperlink" Target="https://anonymous.4open.science/r/sticklebacks-01A4/" TargetMode="External"/><Relationship Id="rId54" Type="http://schemas.openxmlformats.org/officeDocument/2006/relationships/hyperlink" Target="https://doi.org/10.1093/iob/obad008" TargetMode="External"/><Relationship Id="rId62" Type="http://schemas.openxmlformats.org/officeDocument/2006/relationships/hyperlink" Target="https://k3d-jupyter.org/" TargetMode="External"/><Relationship Id="rId70" Type="http://schemas.openxmlformats.org/officeDocument/2006/relationships/hyperlink" Target="https://www.stratovan.com/products/checkpoint"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6.png"/><Relationship Id="rId28" Type="http://schemas.openxmlformats.org/officeDocument/2006/relationships/hyperlink" Target="https://search.r-project.org/CRAN/refmans/geomorph/html/gpagen.html" TargetMode="External"/><Relationship Id="rId36" Type="http://schemas.openxmlformats.org/officeDocument/2006/relationships/image" Target="media/image11.png"/><Relationship Id="rId49" Type="http://schemas.openxmlformats.org/officeDocument/2006/relationships/hyperlink" Target="https://doi.org/10.32614/cran.package.rrpp" TargetMode="External"/><Relationship Id="rId57" Type="http://schemas.openxmlformats.org/officeDocument/2006/relationships/hyperlink" Target="https://doi.org/10.1007/978-1-4614-7657-3_19" TargetMode="External"/><Relationship Id="rId10" Type="http://schemas.openxmlformats.org/officeDocument/2006/relationships/image" Target="media/image2.png"/><Relationship Id="rId31" Type="http://schemas.openxmlformats.org/officeDocument/2006/relationships/hyperlink" Target="https://imagej.net/ij/plugins/virtual-opener.html" TargetMode="External"/><Relationship Id="rId44" Type="http://schemas.openxmlformats.org/officeDocument/2006/relationships/hyperlink" Target="https://doi.org/10.1111/2041-210x.13723" TargetMode="External"/><Relationship Id="rId52" Type="http://schemas.openxmlformats.org/officeDocument/2006/relationships/hyperlink" Target="https://doi.org/10.64898/2026.02.04.699496" TargetMode="External"/><Relationship Id="rId60" Type="http://schemas.openxmlformats.org/officeDocument/2006/relationships/hyperlink" Target="https://doi.org/10.1186/1471-2148-13-277" TargetMode="External"/><Relationship Id="rId65" Type="http://schemas.openxmlformats.org/officeDocument/2006/relationships/hyperlink" Target="https://doi.org/10.1146/annurev-genom-111720-081402" TargetMode="External"/><Relationship Id="rId73" Type="http://schemas.openxmlformats.org/officeDocument/2006/relationships/hyperlink" Target="https://doi.org/10.1111/j.1095-8312.2010.01531.x" TargetMode="External"/><Relationship Id="rId4" Type="http://schemas.openxmlformats.org/officeDocument/2006/relationships/webSettings" Target="webSettings.xml"/><Relationship Id="rId9" Type="http://schemas.openxmlformats.org/officeDocument/2006/relationships/hyperlink" Target="https://www.bruker.com/en/products-and-solutions/diffractometers-and-x-ray-microscopes/3d-x-ray-microscopes/skyscan-2214.html" TargetMode="External"/><Relationship Id="rId13" Type="http://schemas.openxmlformats.org/officeDocument/2006/relationships/hyperlink" Target="https://anonymous.4open.science/r/sticklebacks-01A4/PreviewScans.ipynb" TargetMode="External"/><Relationship Id="rId18" Type="http://schemas.openxmlformats.org/officeDocument/2006/relationships/hyperlink" Target="https://scikit-image.org/docs/stable/api/skimage.measure.html" TargetMode="External"/><Relationship Id="rId39" Type="http://schemas.openxmlformats.org/officeDocument/2006/relationships/hyperlink" Target="https://anonymous.4open.science/r/sticklebacks-01A4/DataWrangling.ipynb" TargetMode="External"/><Relationship Id="rId34" Type="http://schemas.openxmlformats.org/officeDocument/2006/relationships/hyperlink" Target="https://anonymous.4open.science/r/sticklebacks-01A4/logfiles/Sticklebucket_10/Sticklebucket_10.rec.Labels.Check.png" TargetMode="External"/><Relationship Id="rId50" Type="http://schemas.openxmlformats.org/officeDocument/2006/relationships/hyperlink" Target="https://dask.org" TargetMode="External"/><Relationship Id="rId55" Type="http://schemas.openxmlformats.org/officeDocument/2006/relationships/hyperlink" Target="https://doi.org/10.1002/ece3.6929" TargetMode="External"/><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s://doi.org/10.1007/s10228-004-025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6368</Words>
  <Characters>40120</Characters>
  <Application>Microsoft Office Word</Application>
  <DocSecurity>0</DocSecurity>
  <Lines>334</Lines>
  <Paragraphs>92</Paragraphs>
  <ScaleCrop>false</ScaleCrop>
  <HeadingPairs>
    <vt:vector size="2" baseType="variant">
      <vt:variant>
        <vt:lpstr>Title</vt:lpstr>
      </vt:variant>
      <vt:variant>
        <vt:i4>1</vt:i4>
      </vt:variant>
    </vt:vector>
  </HeadingPairs>
  <TitlesOfParts>
    <vt:vector size="1" baseType="lpstr">
      <vt:lpstr>High-Throughput Micro-CT and Automated Segmentation for Eco-Evolutionary Studies: A Case Study from Threespine Stickleback</vt:lpstr>
    </vt:vector>
  </TitlesOfParts>
  <Company/>
  <LinksUpToDate>false</LinksUpToDate>
  <CharactersWithSpaces>46396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High-Throughput Micro-CT and Automated Segmentation for Eco-Evolutionary Studies: A Case Study from Threespine Stickleback</dc:title>
  <dc:creator/>
  <cp:keywords>tomography, high-throughput, stickleback, ecology</cp:keywords>
  <cp:lastModifiedBy>Haberthür, David (ANA)</cp:lastModifiedBy>
  <cp:revision>9</cp:revision>
  <dcterms:created xsi:type="dcterms:W3CDTF">2026-08-21T10:19:00Z</dcterms:created>
  <dcterms:modified xsi:type="dcterms:W3CDTF">2026-08-24T14:33:00Z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meta">
    <vt:lpwstr/>
  </property>
  <property fmtid="{D5CDD505-2E9C-101B-9397-08002B2CF9AE}" pid="3" name="bibliography">
    <vt:lpwstr/>
  </property>
  <property fmtid="{D5CDD505-2E9C-101B-9397-08002B2CF9AE}" pid="4" name="citekey_aliases">
    <vt:lpwstr/>
  </property>
  <property fmtid="{D5CDD505-2E9C-101B-9397-08002B2CF9AE}" pid="5" name="csl">
    <vt:lpwstr>https://www.zotero.org/styles/methods-in-ecology-and-evolution</vt:lpwstr>
  </property>
  <property fmtid="{D5CDD505-2E9C-101B-9397-08002B2CF9AE}" pid="6" name="date-meta">
    <vt:lpwstr>2026-08-21</vt:lpwstr>
  </property>
  <property fmtid="{D5CDD505-2E9C-101B-9397-08002B2CF9AE}" pid="7" name="header-includes">
    <vt:lpwstr>  </vt:lpwstr>
  </property>
  <property fmtid="{D5CDD505-2E9C-101B-9397-08002B2CF9AE}" pid="8" name="link-citations">
    <vt:lpwstr>True</vt:lpwstr>
  </property>
  <property fmtid="{D5CDD505-2E9C-101B-9397-08002B2CF9AE}" pid="9" name="manubot-clear-requests-cache">
    <vt:lpwstr>False</vt:lpwstr>
  </property>
  <property fmtid="{D5CDD505-2E9C-101B-9397-08002B2CF9AE}" pid="10" name="manubot-output-bibliography">
    <vt:lpwstr>output/references.json</vt:lpwstr>
  </property>
  <property fmtid="{D5CDD505-2E9C-101B-9397-08002B2CF9AE}" pid="11" name="manubot-output-citekeys">
    <vt:lpwstr>output/citations.tsv</vt:lpwstr>
  </property>
  <property fmtid="{D5CDD505-2E9C-101B-9397-08002B2CF9AE}" pid="12" name="manubot-requests-cache-path">
    <vt:lpwstr>ci/cache/requests-cache</vt:lpwstr>
  </property>
  <property fmtid="{D5CDD505-2E9C-101B-9397-08002B2CF9AE}" pid="13" name="references">
    <vt:lpwstr/>
  </property>
</Properties>
</file>