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habi/zmk-tooth-cohort-method-manuscript@07a0a8a</w:t>
        </w:r>
      </w:hyperlink>
      <w:r>
        <w:t xml:space="preserve"> </w:t>
      </w:r>
      <w:r>
        <w:t xml:space="preserve">on January 11,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CC 810.30 Federal Act of 30 September 2011 on Research involving Human Beings (Human Research Act, HRA).</w:t>
      </w:r>
      <w:r>
        <w:t xml:space="preserve"> </w:t>
      </w:r>
      <w:hyperlink r:id="rId156">
        <w:r>
          <w:rPr>
            <w:rStyle w:val="Hyperlink"/>
          </w:rPr>
          <w:t xml:space="preserve">https://www.admin.ch/opc/en/classified-compilation/20061313/index.html</w:t>
        </w:r>
      </w:hyperlink>
      <w:r>
        <w:t xml:space="preserve">. Accessed 11 Jan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7a0a8aed6642483a4a54a01d1578fe325802f88"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7a0a8aed6642483a4a54a01d1578fe325802f88"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07a0a8aed6642483a4a54a01d1578fe325802f88/"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7a0a8aed6642483a4a54a01d1578fe325802f88"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7a0a8aed6642483a4a54a01d1578fe325802f88"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07a0a8aed6642483a4a54a01d1578fe325802f88/"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2021-01-11T20:33:50Z</dcterms:created>
  <dcterms:modified xsi:type="dcterms:W3CDTF">2021-01-11T20:33:50Z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