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habi/zmk-tooth-cohort-method-manuscript@bc06c5b</w:t>
        </w:r>
      </w:hyperlink>
      <w:r>
        <w:t xml:space="preserve"> </w:t>
      </w:r>
      <w:r>
        <w:t xml:space="preserve">on April 9,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 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Briseño classification [17] of the extracted tooth slices. This tooth features a 1-1-1/1 root canal configuration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configuration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leads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ments"/>
      <w:r>
        <w:t xml:space="preserve">Acknowledgments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9 Apr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bc06c5bf415aa5a3bda760e9c9617cd213d52015"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bc06c5bf415aa5a3bda760e9c9617cd213d52015"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bc06c5bf415aa5a3bda760e9c9617cd213d52015/"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bc06c5bf415aa5a3bda760e9c9617cd213d52015"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bc06c5bf415aa5a3bda760e9c9617cd213d52015"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bc06c5bf415aa5a3bda760e9c9617cd213d52015/"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2021-04-09T14:33:52Z</dcterms:created>
  <dcterms:modified xsi:type="dcterms:W3CDTF">2021-04-09T14:33:52Z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2021-04-09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