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240"/>
        <w:jc w:val="center"/>
      </w:pPr>
      <w:r>
        <w:rPr>
          <w:rFonts w:ascii="Arial" w:cs="Arial" w:eastAsia="Arial" w:hAnsi="Arial"/>
          <w:b/>
          <w:bCs/>
          <w:color w:val="006A4E"/>
          <w:sz w:val="72"/>
          <w:szCs w:val="72"/>
        </w:rPr>
        <w:t xml:space="preserve">🇧🇩  Bangladesh</w:t>
      </w:r>
    </w:p>
    <w:p>
      <w:pPr>
        <w:spacing w:after="160"/>
        <w:jc w:val="center"/>
      </w:pPr>
      <w:r>
        <w:rPr>
          <w:rFonts w:ascii="Arial" w:cs="Arial" w:eastAsia="Arial" w:hAnsi="Arial"/>
          <w:color w:val="F42A41"/>
          <w:sz w:val="32"/>
          <w:szCs w:val="32"/>
        </w:rPr>
        <w:t xml:space="preserve">Complete Reference for AI Coding Tools &amp; Developers</w:t>
      </w:r>
    </w:p>
    <w:p>
      <w:pPr>
        <w:spacing w:after="80"/>
        <w:jc w:val="center"/>
      </w:pPr>
      <w:r>
        <w:rPr>
          <w:rFonts w:ascii="Arial" w:cs="Arial" w:eastAsia="Arial" w:hAnsi="Arial"/>
          <w:color w:val="888888"/>
          <w:sz w:val="22"/>
          <w:szCs w:val="22"/>
        </w:rPr>
        <w:t xml:space="preserve">Geopolitics · Tech Ecosystem · APIs · Localization · Compliance</w:t>
      </w:r>
    </w:p>
    <w:p>
      <w:pPr>
        <w:pBdr>
          <w:bottom w:val="double" w:color="006A4E" w:sz="6" w:space="6"/>
        </w:pBdr>
        <w:spacing w:after="960"/>
        <w:jc w:val="center"/>
      </w:pPr>
      <w:r>
        <w:rPr>
          <w:rFonts w:ascii="Arial" w:cs="Arial" w:eastAsia="Arial" w:hAnsi="Arial"/>
          <w:color w:val="AAAAAA"/>
          <w:sz w:val="20"/>
          <w:szCs w:val="20"/>
        </w:rPr>
        <w:t xml:space="preserve">Updated March 2025</w:t>
      </w:r>
    </w:p>
    <w:p>
      <w:pPr>
        <w:spacing w:after="120"/>
      </w:pPr>
      <w:r>
        <w:t xml:space="preserve"/>
      </w:r>
    </w:p>
    <w:p>
      <w:pPr>
        <w:pStyle w:val="Heading1"/>
      </w:pPr>
      <w:r>
        <w:t xml:space="preserve">1. Country Overview</w:t>
      </w:r>
    </w:p>
    <w:p>
      <w:pPr>
        <w:spacing w:after="160"/>
      </w:pPr>
      <w:r>
        <w:rPr>
          <w:rFonts w:ascii="Arial" w:cs="Arial" w:eastAsia="Arial" w:hAnsi="Arial"/>
          <w:sz w:val="24"/>
          <w:szCs w:val="24"/>
        </w:rPr>
        <w:t xml:space="preserve">Bangladesh (People's Republic of Bangladesh) is a South Asian nation bordered by India on three sides and Myanmar to the southeast, with the Bay of Bengal to the south. It is one of the most densely populated countries on Earth and home to a rapidly growing digital economy.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Field</w:t>
            </w:r>
          </w:p>
        </w:tc>
        <w:tc>
          <w:tcPr>
            <w:tcW w:type="dxa" w:w="624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Official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People's Republic of Bangladesh (গণপ্রজাতন্ত্রী বাংলাদেশ)</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Capital</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Dhaka (ঢাকা)</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Official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Bengali (Bangla)</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Population</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~173 million (2024 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147,570 km²</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Currency</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Bangladeshi Taka (BDT,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 Zone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Bangladesh Standard Time (BST) — UTC+6</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Internet TLD</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 3166-1 alpha-2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BD</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ISO 3166-1 alpha-3</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Phone Country Code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+880</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Government</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Unitary parliamentary constitutional republic</w:t>
            </w:r>
          </w:p>
        </w:tc>
      </w:tr>
    </w:tbl>
    <w:p>
      <w:pPr>
        <w:spacing w:after="120"/>
      </w:pPr>
      <w:r>
        <w:t xml:space="preserve"/>
      </w:r>
    </w:p>
    <w:p>
      <w:pPr>
        <w:pStyle w:val="Heading1"/>
      </w:pPr>
      <w:r>
        <w:t xml:space="preserve">2. Locale, Language &amp; Encoding</w:t>
      </w:r>
    </w:p>
    <w:p>
      <w:pPr>
        <w:pStyle w:val="Heading2"/>
      </w:pPr>
      <w:r>
        <w:t xml:space="preserve">2.1  Locale Codes</w:t>
      </w:r>
    </w:p>
    <w:p>
      <w:pPr>
        <w:spacing w:after="160"/>
      </w:pPr>
      <w:r>
        <w:rPr>
          <w:rFonts w:ascii="Arial" w:cs="Arial" w:eastAsia="Arial" w:hAnsi="Arial"/>
          <w:sz w:val="24"/>
          <w:szCs w:val="24"/>
        </w:rPr>
        <w:t xml:space="preserve">When building applications targeting Bangladesh, use these locale identifiers:</w:t>
      </w:r>
    </w:p>
    <w:p>
      <w:pPr>
        <w:pStyle w:val="ListParagraph"/>
        <w:numPr>
          <w:ilvl w:val="0"/>
          <w:numId w:val="2"/>
        </w:numPr>
        <w:spacing w:after="100"/>
      </w:pPr>
      <w:r>
        <w:rPr>
          <w:rFonts w:ascii="Arial" w:cs="Arial" w:eastAsia="Arial" w:hAnsi="Arial"/>
          <w:sz w:val="24"/>
          <w:szCs w:val="24"/>
        </w:rPr>
        <w:t xml:space="preserve">Primary locale: bn-BD  (Bengali — Bangladesh)</w:t>
      </w:r>
    </w:p>
    <w:p>
      <w:pPr>
        <w:pStyle w:val="ListParagraph"/>
        <w:numPr>
          <w:ilvl w:val="0"/>
          <w:numId w:val="2"/>
        </w:numPr>
        <w:spacing w:after="100"/>
      </w:pPr>
      <w:r>
        <w:rPr>
          <w:rFonts w:ascii="Arial" w:cs="Arial" w:eastAsia="Arial" w:hAnsi="Arial"/>
          <w:sz w:val="24"/>
          <w:szCs w:val="24"/>
        </w:rPr>
        <w:t xml:space="preserve">Fallback: bn  (generic Bengali)</w:t>
      </w:r>
    </w:p>
    <w:p>
      <w:pPr>
        <w:pStyle w:val="ListParagraph"/>
        <w:numPr>
          <w:ilvl w:val="0"/>
          <w:numId w:val="2"/>
        </w:numPr>
        <w:spacing w:after="100"/>
      </w:pPr>
      <w:r>
        <w:rPr>
          <w:rFonts w:ascii="Arial" w:cs="Arial" w:eastAsia="Arial" w:hAnsi="Arial"/>
          <w:sz w:val="24"/>
          <w:szCs w:val="24"/>
        </w:rPr>
        <w:t xml:space="preserve">English widely used in tech: en-BD  or  en-US</w:t>
      </w:r>
    </w:p>
    <w:p>
      <w:pPr>
        <w:spacing w:after="120"/>
      </w:pPr>
      <w:r>
        <w:t xml:space="preserve"/>
      </w:r>
    </w:p>
    <w:p>
      <w:pPr>
        <w:pStyle w:val="Heading2"/>
      </w:pPr>
      <w:r>
        <w:t xml:space="preserve">2.2  Character Encoding &amp; Script</w:t>
      </w:r>
    </w:p>
    <w:p>
      <w:pPr>
        <w:spacing w:after="160"/>
      </w:pPr>
      <w:r>
        <w:rPr>
          <w:rFonts w:ascii="Arial" w:cs="Arial" w:eastAsia="Arial" w:hAnsi="Arial"/>
          <w:sz w:val="24"/>
          <w:szCs w:val="24"/>
        </w:rPr>
        <w:t xml:space="preserve">Bengali (Bangla) uses the Bengali script and requires full Unicode support. Critical points for developers:</w:t>
      </w:r>
    </w:p>
    <w:p>
      <w:pPr>
        <w:pStyle w:val="ListParagraph"/>
        <w:numPr>
          <w:ilvl w:val="0"/>
          <w:numId w:val="2"/>
        </w:numPr>
        <w:spacing w:after="100"/>
      </w:pPr>
      <w:r>
        <w:rPr>
          <w:rFonts w:ascii="Arial" w:cs="Arial" w:eastAsia="Arial" w:hAnsi="Arial"/>
          <w:sz w:val="24"/>
          <w:szCs w:val="24"/>
        </w:rPr>
        <w:t xml:space="preserve">Always use UTF-8 encoding for all files, databases, and API responses</w:t>
      </w:r>
    </w:p>
    <w:p>
      <w:pPr>
        <w:pStyle w:val="ListParagraph"/>
        <w:numPr>
          <w:ilvl w:val="0"/>
          <w:numId w:val="2"/>
        </w:numPr>
        <w:spacing w:after="100"/>
      </w:pPr>
      <w:r>
        <w:rPr>
          <w:rFonts w:ascii="Arial" w:cs="Arial" w:eastAsia="Arial" w:hAnsi="Arial"/>
          <w:sz w:val="24"/>
          <w:szCs w:val="24"/>
        </w:rPr>
        <w:t xml:space="preserve">Unicode range: U+0980 – U+09FF  (Bengali block)</w:t>
      </w:r>
    </w:p>
    <w:p>
      <w:pPr>
        <w:pStyle w:val="ListParagraph"/>
        <w:numPr>
          <w:ilvl w:val="0"/>
          <w:numId w:val="2"/>
        </w:numPr>
        <w:spacing w:after="100"/>
      </w:pPr>
      <w:r>
        <w:rPr>
          <w:rFonts w:ascii="Arial" w:cs="Arial" w:eastAsia="Arial" w:hAnsi="Arial"/>
          <w:sz w:val="24"/>
          <w:szCs w:val="24"/>
        </w:rPr>
        <w:t xml:space="preserve">Font support: Kalpurush, SolaimanLipi, Noto Sans Bengali</w:t>
      </w:r>
    </w:p>
    <w:p>
      <w:pPr>
        <w:pStyle w:val="ListParagraph"/>
        <w:numPr>
          <w:ilvl w:val="0"/>
          <w:numId w:val="2"/>
        </w:numPr>
        <w:spacing w:after="100"/>
      </w:pPr>
      <w:r>
        <w:rPr>
          <w:rFonts w:ascii="Arial" w:cs="Arial" w:eastAsia="Arial" w:hAnsi="Arial"/>
          <w:sz w:val="24"/>
          <w:szCs w:val="24"/>
        </w:rPr>
        <w:t xml:space="preserve">Numerals: Bengali numerals ০১২৩৪৫৬৭৮৯ vs ASCII 0-9 — handle both</w:t>
      </w:r>
    </w:p>
    <w:p>
      <w:pPr>
        <w:pStyle w:val="ListParagraph"/>
        <w:numPr>
          <w:ilvl w:val="0"/>
          <w:numId w:val="2"/>
        </w:numPr>
        <w:spacing w:after="100"/>
      </w:pPr>
      <w:r>
        <w:rPr>
          <w:rFonts w:ascii="Arial" w:cs="Arial" w:eastAsia="Arial" w:hAnsi="Arial"/>
          <w:sz w:val="24"/>
          <w:szCs w:val="24"/>
        </w:rPr>
        <w:t xml:space="preserve">Right-to-left is NOT required; Bengali is written left-to-right</w:t>
      </w:r>
    </w:p>
    <w:p>
      <w:pPr>
        <w:spacing w:after="120"/>
      </w:pPr>
      <w:r>
        <w:t xml:space="preserve"/>
      </w:r>
    </w:p>
    <w:p>
      <w:pPr>
        <w:pStyle w:val="Heading2"/>
      </w:pPr>
      <w:r>
        <w:t xml:space="preserve">2.3  Code Examples: Locale Setup</w:t>
      </w:r>
    </w:p>
    <w:p>
      <w:pPr>
        <w:pStyle w:val="Heading3"/>
      </w:pPr>
      <w:r>
        <w:t xml:space="preserve">JavaScript / Node.js</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const formatter = new Intl.NumberFormat('bn-BD', {</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style: 'currency', currency: 'BDT'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formatter.format(1500); // ৳১,৫০০.০০</w:t>
      </w:r>
    </w:p>
    <w:p>
      <w:pPr>
        <w:spacing w:after="120"/>
      </w:pPr>
      <w:r>
        <w:t xml:space="preserve"/>
      </w:r>
    </w:p>
    <w:p>
      <w:pPr>
        <w:pStyle w:val="Heading3"/>
      </w:pPr>
      <w:r>
        <w:t xml:space="preserve">Python</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import locale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locale.setlocale(locale.LC_ALL, 'bn_BD.UTF-8')</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Date formatting</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from babel import Locale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l = Locale('bn', territory='BD')</w:t>
      </w:r>
    </w:p>
    <w:p>
      <w:pPr>
        <w:spacing w:after="120"/>
      </w:pPr>
      <w:r>
        <w:t xml:space="preserve"/>
      </w:r>
    </w:p>
    <w:p>
      <w:pPr>
        <w:pStyle w:val="Heading3"/>
      </w:pPr>
      <w:r>
        <w:t xml:space="preserve">HTML / CSS</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&lt;html lang="bn"&gt;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&lt;meta charset="UTF-8"&gt;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Font stack for Bengali UI */</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font-family: 'Noto Sans Bengali', 'Kalpurush', sans-serif;</w:t>
      </w:r>
    </w:p>
    <w:p>
      <w:pPr>
        <w:spacing w:after="120"/>
      </w:pPr>
      <w:r>
        <w:t xml:space="preserve"/>
      </w:r>
    </w:p>
    <w:p>
      <w:pPr>
        <w:pStyle w:val="Heading1"/>
      </w:pPr>
      <w:r>
        <w:t xml:space="preserve">3. Date, Time &amp; Number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Format Type</w:t>
            </w:r>
          </w:p>
        </w:tc>
        <w:tc>
          <w:tcPr>
            <w:tcW w:type="dxa" w:w="624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Bangladesh Convention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DD/MM/YYYY  (e.g., 17/03/2025)</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Date format (long)</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১৭ মার্চ, ২০২৫  (Bengali) or 17 March 2025 (English)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12-hour with AM/PM common; 24-hour in tech</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Decimal separator</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Period  .  (e.g., 1,500.50)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Thousands separator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Comma  ,  (e.g., 1,50,000 — South Asian grouping)</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Calendar system</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Gregorian (official); Bengali calendar also in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Fiscal year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July 1 – June 30</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Working week</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Sunday – Thursday (Friday–Saturday weekend)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Public holidays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 annually (includes Islamic, national, seasonal)</w:t>
            </w:r>
          </w:p>
        </w:tc>
      </w:tr>
    </w:tbl>
    <w:p>
      <w:pPr>
        <w:spacing w:after="120"/>
      </w:pPr>
      <w:r>
        <w:t xml:space="preserve"/>
      </w:r>
    </w:p>
    <w:p>
      <w:pPr>
        <w:spacing w:after="160"/>
      </w:pPr>
      <w:r>
        <w:rPr>
          <w:rFonts w:ascii="Arial" w:cs="Arial" w:eastAsia="Arial" w:hAnsi="Arial"/>
          <w:sz w:val="24"/>
          <w:szCs w:val="24"/>
        </w:rPr>
        <w:t xml:space="preserve">Important: Bangladesh uses the South Asian number grouping system (lakh/crore). 1,00,000 = 1 lakh = 100,000. Build formatters that support this system for financial applications.</w:t>
      </w:r>
    </w:p>
    <w:p>
      <w:pPr>
        <w:spacing w:after="120"/>
      </w:pPr>
      <w:r>
        <w:t xml:space="preserve"/>
      </w:r>
    </w:p>
    <w:p>
      <w:pPr>
        <w:pStyle w:val="Heading3"/>
      </w:pPr>
      <w:r>
        <w:t xml:space="preserve">Number Grouping Code (JavaScript)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const formatter = new Intl.NumberFormat('en-BD', {</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useGrouping: true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formatter.format(1500000); // 15,00,000 (15 lakh)</w:t>
      </w:r>
    </w:p>
    <w:p>
      <w:pPr>
        <w:spacing w:after="120"/>
      </w:pPr>
      <w:r>
        <w:t xml:space="preserve"/>
      </w:r>
    </w:p>
    <w:p>
      <w:pPr>
        <w:pStyle w:val="Heading1"/>
      </w:pPr>
      <w:r>
        <w:t xml:space="preserve">4. Currency &amp; Payment Integrations</w:t>
      </w:r>
    </w:p>
    <w:p>
      <w:pPr>
        <w:pStyle w:val="Heading2"/>
      </w:pPr>
      <w:r>
        <w:t xml:space="preserve">4.1  Currency Details</w:t>
      </w:r>
    </w:p>
    <w:p>
      <w:pPr>
        <w:pStyle w:val="ListParagraph"/>
        <w:numPr>
          <w:ilvl w:val="0"/>
          <w:numId w:val="2"/>
        </w:numPr>
        <w:spacing w:after="100"/>
      </w:pPr>
      <w:r>
        <w:rPr>
          <w:rFonts w:ascii="Arial" w:cs="Arial" w:eastAsia="Arial" w:hAnsi="Arial"/>
          <w:sz w:val="24"/>
          <w:szCs w:val="24"/>
        </w:rPr>
        <w:t xml:space="preserve">Currency name: Bangladeshi Taka</w:t>
      </w:r>
    </w:p>
    <w:p>
      <w:pPr>
        <w:pStyle w:val="ListParagraph"/>
        <w:numPr>
          <w:ilvl w:val="0"/>
          <w:numId w:val="2"/>
        </w:numPr>
        <w:spacing w:after="100"/>
      </w:pPr>
      <w:r>
        <w:rPr>
          <w:rFonts w:ascii="Arial" w:cs="Arial" w:eastAsia="Arial" w:hAnsi="Arial"/>
          <w:sz w:val="24"/>
          <w:szCs w:val="24"/>
        </w:rPr>
        <w:t xml:space="preserve">ISO 4217 code: BDT</w:t>
      </w:r>
    </w:p>
    <w:p>
      <w:pPr>
        <w:pStyle w:val="ListParagraph"/>
        <w:numPr>
          <w:ilvl w:val="0"/>
          <w:numId w:val="2"/>
        </w:numPr>
        <w:spacing w:after="100"/>
      </w:pPr>
      <w:r>
        <w:rPr>
          <w:rFonts w:ascii="Arial" w:cs="Arial" w:eastAsia="Arial" w:hAnsi="Arial"/>
          <w:sz w:val="24"/>
          <w:szCs w:val="24"/>
        </w:rPr>
        <w:t xml:space="preserve">Symbol: ৳  (Unicode U+09F3)  or  Tk  (ASCII fallback)</w:t>
      </w:r>
    </w:p>
    <w:p>
      <w:pPr>
        <w:pStyle w:val="ListParagraph"/>
        <w:numPr>
          <w:ilvl w:val="0"/>
          <w:numId w:val="2"/>
        </w:numPr>
        <w:spacing w:after="100"/>
      </w:pPr>
      <w:r>
        <w:rPr>
          <w:rFonts w:ascii="Arial" w:cs="Arial" w:eastAsia="Arial" w:hAnsi="Arial"/>
          <w:sz w:val="24"/>
          <w:szCs w:val="24"/>
        </w:rPr>
        <w:t xml:space="preserve">Minor unit: Paisa (1 Taka = 100 Paisa) — rarely used in practice</w:t>
      </w:r>
    </w:p>
    <w:p>
      <w:pPr>
        <w:pStyle w:val="ListParagraph"/>
        <w:numPr>
          <w:ilvl w:val="0"/>
          <w:numId w:val="2"/>
        </w:numPr>
        <w:spacing w:after="100"/>
      </w:pPr>
      <w:r>
        <w:rPr>
          <w:rFonts w:ascii="Arial" w:cs="Arial" w:eastAsia="Arial" w:hAnsi="Arial"/>
          <w:sz w:val="24"/>
          <w:szCs w:val="24"/>
        </w:rPr>
        <w:t xml:space="preserve">No decimal places typically displayed in everyday use</w:t>
      </w:r>
    </w:p>
    <w:p>
      <w:pPr>
        <w:spacing w:after="120"/>
      </w:pPr>
      <w:r>
        <w:t xml:space="preserve"/>
      </w:r>
    </w:p>
    <w:p>
      <w:pPr>
        <w:pStyle w:val="Heading2"/>
      </w:pPr>
      <w:r>
        <w:t xml:space="preserve">4.2  Mobile Financial Services (MFS)</w:t>
      </w:r>
    </w:p>
    <w:p>
      <w:pPr>
        <w:spacing w:after="160"/>
      </w:pPr>
      <w:r>
        <w:rPr>
          <w:rFonts w:ascii="Arial" w:cs="Arial" w:eastAsia="Arial" w:hAnsi="Arial"/>
          <w:sz w:val="24"/>
          <w:szCs w:val="24"/>
        </w:rPr>
        <w:t xml:space="preserve">MFS platforms are dominant in Bangladesh — critical for any fintech or e-commerce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Platform</w:t>
            </w:r>
          </w:p>
        </w:tc>
        <w:tc>
          <w:tcPr>
            <w:tcW w:type="dxa" w:w="351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API / Docs</w:t>
            </w:r>
          </w:p>
        </w:tc>
        <w:tc>
          <w:tcPr>
            <w:tcW w:type="dxa" w:w="351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bKash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developer.bka.sh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leader, ~65M users</w:t>
            </w:r>
          </w:p>
        </w:tc>
      </w:tr>
      <w:tr>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Nagad</w:t>
            </w:r>
          </w:p>
        </w:tc>
        <w:tc>
          <w:tcPr>
            <w:tcW w:type="dxa" w:w="351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nagad.com.bd/api</w:t>
            </w:r>
          </w:p>
        </w:tc>
        <w:tc>
          <w:tcPr>
            <w:tcW w:type="dxa" w:w="351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Postal-backed, fast growth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Rocket (DBBL)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dutchbanglabank.com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Dutch-Bangla Bank MFS</w:t>
            </w:r>
          </w:p>
        </w:tc>
      </w:tr>
      <w:tr>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SSLCOMMERZ</w:t>
            </w:r>
          </w:p>
        </w:tc>
        <w:tc>
          <w:tcPr>
            <w:tcW w:type="dxa" w:w="351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developer.sslcommerz.com</w:t>
            </w:r>
          </w:p>
        </w:tc>
        <w:tc>
          <w:tcPr>
            <w:tcW w:type="dxa" w:w="351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Major payment gateway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ShurjoPay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engine.shurjopayment.com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REST API, sandbox available</w:t>
            </w:r>
          </w:p>
        </w:tc>
      </w:tr>
      <w:tr>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AamarPay</w:t>
            </w:r>
          </w:p>
        </w:tc>
        <w:tc>
          <w:tcPr>
            <w:tcW w:type="dxa" w:w="351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aamarpay.com/api</w:t>
            </w:r>
          </w:p>
        </w:tc>
        <w:tc>
          <w:tcPr>
            <w:tcW w:type="dxa" w:w="351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Multi-channel gateway</w:t>
            </w:r>
          </w:p>
        </w:tc>
      </w:tr>
    </w:tbl>
    <w:p>
      <w:pPr>
        <w:spacing w:after="120"/>
      </w:pPr>
      <w:r>
        <w:t xml:space="preserve"/>
      </w:r>
    </w:p>
    <w:p>
      <w:pPr>
        <w:pStyle w:val="Heading2"/>
      </w:pPr>
      <w:r>
        <w:t xml:space="preserve">4.3  bKash Integration Quickstart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Step 1: Get token</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POST https://tokenized.pay.bka.sh/v1.2.0-beta/tokenized/checkout/token/grant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"app_key": "YOUR_APP_KEY",</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"app_secret": "YOUR_APP_SECRET"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w:t>
      </w:r>
    </w:p>
    <w:p>
      <w:pPr>
        <w:spacing w:after="120"/>
      </w:pPr>
      <w:r>
        <w:t xml:space="preserve"/>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Step 2: Create payment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POST /v1.2.0-beta/tokenized/checkout/create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"mode": "0011",</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"amount": "500",</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"currency": "BDT",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"intent": "sale",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"merchantInvoiceNumber": "INV-001"</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w:t>
      </w:r>
    </w:p>
    <w:p>
      <w:pPr>
        <w:spacing w:after="120"/>
      </w:pPr>
      <w:r>
        <w:t xml:space="preserve"/>
      </w:r>
    </w:p>
    <w:p>
      <w:pPr>
        <w:pStyle w:val="Heading1"/>
      </w:pPr>
      <w:r>
        <w:t xml:space="preserve">5. Administrative Geography</w:t>
      </w:r>
    </w:p>
    <w:p>
      <w:pPr>
        <w:spacing w:after="160"/>
      </w:pPr>
      <w:r>
        <w:rPr>
          <w:rFonts w:ascii="Arial" w:cs="Arial" w:eastAsia="Arial" w:hAnsi="Arial"/>
          <w:sz w:val="24"/>
          <w:szCs w:val="24"/>
        </w:rPr>
        <w:t xml:space="preserve">Bangladesh is divided into 8 divisions, 64 districts (zila), and 495 upazilas. Use these in address forms and location-based services.</w:t>
      </w:r>
    </w:p>
    <w:p>
      <w:pPr>
        <w:spacing w:after="120"/>
      </w:pPr>
      <w:r>
        <w:t xml:space="preserve"/>
      </w:r>
    </w:p>
    <w:p>
      <w:pPr>
        <w:pStyle w:val="Heading2"/>
      </w:pPr>
      <w:r>
        <w:t xml:space="preserve">5.1  Divisions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Division</w:t>
            </w:r>
          </w:p>
        </w:tc>
        <w:tc>
          <w:tcPr>
            <w:tcW w:type="dxa" w:w="234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Bengali Name</w:t>
            </w:r>
          </w:p>
        </w:tc>
        <w:tc>
          <w:tcPr>
            <w:tcW w:type="dxa" w:w="468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Major City /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Dhaka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ঢাকা</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Capital region, largest economic hub</w:t>
            </w:r>
          </w:p>
        </w:tc>
      </w:tr>
      <w:tr>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Chittagong</w:t>
            </w:r>
          </w:p>
        </w:tc>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চট্টগ্রাম</w:t>
            </w:r>
          </w:p>
        </w:tc>
        <w:tc>
          <w:tcPr>
            <w:tcW w:type="dxa" w:w="468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Major port city, industrial zone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Sylhet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সিলেট</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 industry, large diaspora</w:t>
            </w:r>
          </w:p>
        </w:tc>
      </w:tr>
      <w:tr>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Rajshahi</w:t>
            </w:r>
          </w:p>
        </w:tc>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রাজশাহী</w:t>
            </w:r>
          </w:p>
        </w:tc>
        <w:tc>
          <w:tcPr>
            <w:tcW w:type="dxa" w:w="468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Silk production, northwestern region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Khulna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খুলনা</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Sundarbans gateway, shrimp industry</w:t>
            </w:r>
          </w:p>
        </w:tc>
      </w:tr>
      <w:tr>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Barisal</w:t>
            </w:r>
          </w:p>
        </w:tc>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বরিশাল</w:t>
            </w:r>
          </w:p>
        </w:tc>
        <w:tc>
          <w:tcPr>
            <w:tcW w:type="dxa" w:w="468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River delta, southern division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Rangpur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রংপুর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Northern agricultural belt</w:t>
            </w:r>
          </w:p>
        </w:tc>
      </w:tr>
      <w:tr>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Mymensingh</w:t>
            </w:r>
          </w:p>
        </w:tc>
        <w:tc>
          <w:tcPr>
            <w:tcW w:type="dxa" w:w="23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ময়মনসিংহ</w:t>
            </w:r>
          </w:p>
        </w:tc>
        <w:tc>
          <w:tcPr>
            <w:tcW w:type="dxa" w:w="468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Agricultural university hub, newest division</w:t>
            </w:r>
          </w:p>
        </w:tc>
      </w:tr>
    </w:tbl>
    <w:p>
      <w:pPr>
        <w:spacing w:after="120"/>
      </w:pPr>
      <w:r>
        <w:t xml:space="preserve"/>
      </w:r>
    </w:p>
    <w:p>
      <w:pPr>
        <w:pStyle w:val="Heading2"/>
      </w:pPr>
      <w:r>
        <w:t xml:space="preserve">5.2  Address Format</w:t>
      </w:r>
    </w:p>
    <w:p>
      <w:pPr>
        <w:spacing w:after="160"/>
      </w:pPr>
      <w:r>
        <w:rPr>
          <w:rFonts w:ascii="Arial" w:cs="Arial" w:eastAsia="Arial" w:hAnsi="Arial"/>
          <w:sz w:val="24"/>
          <w:szCs w:val="24"/>
        </w:rPr>
        <w:t xml:space="preserve">Standard Bangladeshi postal address format for form validation:</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House/Apt Number, Road/Street Name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Area/Neighborhood</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Thana/Upazila, District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Division - Postal Code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Bangladesh</w:t>
      </w:r>
    </w:p>
    <w:p>
      <w:pPr>
        <w:spacing w:after="120"/>
      </w:pPr>
      <w:r>
        <w:t xml:space="preserve"/>
      </w:r>
    </w:p>
    <w:p>
      <w:pPr>
        <w:spacing w:after="160"/>
      </w:pPr>
      <w:r>
        <w:rPr>
          <w:rFonts w:ascii="Arial" w:cs="Arial" w:eastAsia="Arial" w:hAnsi="Arial"/>
          <w:sz w:val="24"/>
          <w:szCs w:val="24"/>
        </w:rPr>
        <w:t xml:space="preserve">Dhaka postal codes range from 1000–1230. Use 4-digit postal codes (no ZIP+4). Validate with regex: /^[0-9]{4}$/</w:t>
      </w:r>
    </w:p>
    <w:p>
      <w:pPr>
        <w:spacing w:after="120"/>
      </w:pPr>
      <w:r>
        <w:t xml:space="preserve"/>
      </w:r>
    </w:p>
    <w:p>
      <w:pPr>
        <w:pStyle w:val="Heading1"/>
      </w:pPr>
      <w:r>
        <w:t xml:space="preserve">6. Telecommunications &amp; Internet</w:t>
      </w:r>
    </w:p>
    <w:p>
      <w:pPr>
        <w:pStyle w:val="Heading2"/>
      </w:pPr>
      <w:r>
        <w:t xml:space="preserve">6.1  Mobile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Operator</w:t>
            </w:r>
          </w:p>
        </w:tc>
        <w:tc>
          <w:tcPr>
            <w:tcW w:type="dxa" w:w="2808"/>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MNC Code</w:t>
            </w:r>
          </w:p>
        </w:tc>
        <w:tc>
          <w:tcPr>
            <w:tcW w:type="dxa" w:w="3744"/>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Grameenphone (GP)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470-01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leader, Telenor subsidiary</w:t>
            </w:r>
          </w:p>
        </w:tc>
      </w:tr>
      <w:tr>
        <w:tc>
          <w:tcPr>
            <w:tcW w:type="dxa" w:w="2808"/>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Robi Axiata</w:t>
            </w:r>
          </w:p>
        </w:tc>
        <w:tc>
          <w:tcPr>
            <w:tcW w:type="dxa" w:w="2808"/>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470-03</w:t>
            </w:r>
          </w:p>
        </w:tc>
        <w:tc>
          <w:tcPr>
            <w:tcW w:type="dxa" w:w="3744"/>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Axiata Group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Banglalink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470-11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Veon subsidiary</w:t>
            </w:r>
          </w:p>
        </w:tc>
      </w:tr>
      <w:tr>
        <w:tc>
          <w:tcPr>
            <w:tcW w:type="dxa" w:w="2808"/>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Teletalk</w:t>
            </w:r>
          </w:p>
        </w:tc>
        <w:tc>
          <w:tcPr>
            <w:tcW w:type="dxa" w:w="2808"/>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470-04</w:t>
            </w:r>
          </w:p>
        </w:tc>
        <w:tc>
          <w:tcPr>
            <w:tcW w:type="dxa" w:w="3744"/>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State-owned operator</w:t>
            </w:r>
          </w:p>
        </w:tc>
      </w:tr>
    </w:tbl>
    <w:p>
      <w:pPr>
        <w:spacing w:after="120"/>
      </w:pPr>
      <w:r>
        <w:t xml:space="preserve"/>
      </w:r>
    </w:p>
    <w:p>
      <w:pPr>
        <w:pStyle w:val="Heading2"/>
      </w:pPr>
      <w:r>
        <w:t xml:space="preserve">6.2  Phone Number Validation</w:t>
      </w:r>
    </w:p>
    <w:p>
      <w:pPr>
        <w:spacing w:after="160"/>
      </w:pPr>
      <w:r>
        <w:rPr>
          <w:rFonts w:ascii="Arial" w:cs="Arial" w:eastAsia="Arial" w:hAnsi="Arial"/>
          <w:sz w:val="24"/>
          <w:szCs w:val="24"/>
        </w:rPr>
        <w:t xml:space="preserve">Bangladesh mobile numbers follow the format: +880 1X-XXXXXXXX  (11 digits locally starting with 01)</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Regex for BD mobile numbers</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const bdPhone = /^(?:\+880|880|0)?1[3-9]\d{8}$/;</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Prefix to operator mapping</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013, 017 → Grameenphone</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016, 019 → Robi</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014, 015 → Banglalink</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015 → Teletalk</w:t>
      </w:r>
    </w:p>
    <w:p>
      <w:pPr>
        <w:spacing w:after="120"/>
      </w:pPr>
      <w:r>
        <w:t xml:space="preserve"/>
      </w:r>
    </w:p>
    <w:p>
      <w:pPr>
        <w:pStyle w:val="Heading2"/>
      </w:pPr>
      <w:r>
        <w:t xml:space="preserve">6.3  Internet Infrastructure</w:t>
      </w:r>
    </w:p>
    <w:p>
      <w:pPr>
        <w:pStyle w:val="ListParagraph"/>
        <w:numPr>
          <w:ilvl w:val="0"/>
          <w:numId w:val="2"/>
        </w:numPr>
        <w:spacing w:after="100"/>
      </w:pPr>
      <w:r>
        <w:rPr>
          <w:rFonts w:ascii="Arial" w:cs="Arial" w:eastAsia="Arial" w:hAnsi="Arial"/>
          <w:sz w:val="24"/>
          <w:szCs w:val="24"/>
        </w:rPr>
        <w:t xml:space="preserve">Submarine cables: SEA-ME-WE-4, SEA-ME-WE-5, BCS (Bangladesh-China-India-Singapore)</w:t>
      </w:r>
    </w:p>
    <w:p>
      <w:pPr>
        <w:pStyle w:val="ListParagraph"/>
        <w:numPr>
          <w:ilvl w:val="0"/>
          <w:numId w:val="2"/>
        </w:numPr>
        <w:spacing w:after="100"/>
      </w:pPr>
      <w:r>
        <w:rPr>
          <w:rFonts w:ascii="Arial" w:cs="Arial" w:eastAsia="Arial" w:hAnsi="Arial"/>
          <w:sz w:val="24"/>
          <w:szCs w:val="24"/>
        </w:rPr>
        <w:t xml:space="preserve">Internet penetration: ~60% (2024)</w:t>
      </w:r>
    </w:p>
    <w:p>
      <w:pPr>
        <w:pStyle w:val="ListParagraph"/>
        <w:numPr>
          <w:ilvl w:val="0"/>
          <w:numId w:val="2"/>
        </w:numPr>
        <w:spacing w:after="100"/>
      </w:pPr>
      <w:r>
        <w:rPr>
          <w:rFonts w:ascii="Arial" w:cs="Arial" w:eastAsia="Arial" w:hAnsi="Arial"/>
          <w:sz w:val="24"/>
          <w:szCs w:val="24"/>
        </w:rPr>
        <w:t xml:space="preserve">4G widely available; 5G rollout ongoing in Dhaka</w:t>
      </w:r>
    </w:p>
    <w:p>
      <w:pPr>
        <w:pStyle w:val="ListParagraph"/>
        <w:numPr>
          <w:ilvl w:val="0"/>
          <w:numId w:val="2"/>
        </w:numPr>
        <w:spacing w:after="100"/>
      </w:pPr>
      <w:r>
        <w:rPr>
          <w:rFonts w:ascii="Arial" w:cs="Arial" w:eastAsia="Arial" w:hAnsi="Arial"/>
          <w:sz w:val="24"/>
          <w:szCs w:val="24"/>
        </w:rPr>
        <w:t xml:space="preserve">National Data Center: Kaliakair Hi-Tech Park, Gazipur</w:t>
      </w:r>
    </w:p>
    <w:p>
      <w:pPr>
        <w:spacing w:after="120"/>
      </w:pPr>
      <w:r>
        <w:t xml:space="preserve"/>
      </w:r>
    </w:p>
    <w:p>
      <w:pPr>
        <w:pStyle w:val="Heading1"/>
      </w:pPr>
      <w:r>
        <w:t xml:space="preserve">7. Technology Ecosystem</w:t>
      </w:r>
    </w:p>
    <w:p>
      <w:pPr>
        <w:pStyle w:val="Heading2"/>
      </w:pPr>
      <w:r>
        <w:t xml:space="preserve">7.1  Key Tech Hubs &amp; Zones</w:t>
      </w:r>
    </w:p>
    <w:p>
      <w:pPr>
        <w:pStyle w:val="ListParagraph"/>
        <w:numPr>
          <w:ilvl w:val="0"/>
          <w:numId w:val="2"/>
        </w:numPr>
        <w:spacing w:after="100"/>
      </w:pPr>
      <w:r>
        <w:rPr>
          <w:rFonts w:ascii="Arial" w:cs="Arial" w:eastAsia="Arial" w:hAnsi="Arial"/>
          <w:sz w:val="24"/>
          <w:szCs w:val="24"/>
        </w:rPr>
        <w:t xml:space="preserve">Dhaka: Main startup and software hub</w:t>
      </w:r>
    </w:p>
    <w:p>
      <w:pPr>
        <w:pStyle w:val="ListParagraph"/>
        <w:numPr>
          <w:ilvl w:val="0"/>
          <w:numId w:val="2"/>
        </w:numPr>
        <w:spacing w:after="100"/>
      </w:pPr>
      <w:r>
        <w:rPr>
          <w:rFonts w:ascii="Arial" w:cs="Arial" w:eastAsia="Arial" w:hAnsi="Arial"/>
          <w:sz w:val="24"/>
          <w:szCs w:val="24"/>
        </w:rPr>
        <w:t xml:space="preserve">Kaliakair Hi-Tech Park (Gazipur): National data centers, hardware/software companies</w:t>
      </w:r>
    </w:p>
    <w:p>
      <w:pPr>
        <w:pStyle w:val="ListParagraph"/>
        <w:numPr>
          <w:ilvl w:val="0"/>
          <w:numId w:val="2"/>
        </w:numPr>
        <w:spacing w:after="100"/>
      </w:pPr>
      <w:r>
        <w:rPr>
          <w:rFonts w:ascii="Arial" w:cs="Arial" w:eastAsia="Arial" w:hAnsi="Arial"/>
          <w:sz w:val="24"/>
          <w:szCs w:val="24"/>
        </w:rPr>
        <w:t xml:space="preserve">Sylhet Software Technology Park: IT/ITES firms</w:t>
      </w:r>
    </w:p>
    <w:p>
      <w:pPr>
        <w:pStyle w:val="ListParagraph"/>
        <w:numPr>
          <w:ilvl w:val="0"/>
          <w:numId w:val="2"/>
        </w:numPr>
        <w:spacing w:after="100"/>
      </w:pPr>
      <w:r>
        <w:rPr>
          <w:rFonts w:ascii="Arial" w:cs="Arial" w:eastAsia="Arial" w:hAnsi="Arial"/>
          <w:sz w:val="24"/>
          <w:szCs w:val="24"/>
        </w:rPr>
        <w:t xml:space="preserve">Rajshahi Hi-Tech Park: Emerging regional hub</w:t>
      </w:r>
    </w:p>
    <w:p>
      <w:pPr>
        <w:pStyle w:val="ListParagraph"/>
        <w:numPr>
          <w:ilvl w:val="0"/>
          <w:numId w:val="2"/>
        </w:numPr>
        <w:spacing w:after="100"/>
      </w:pPr>
      <w:r>
        <w:rPr>
          <w:rFonts w:ascii="Arial" w:cs="Arial" w:eastAsia="Arial" w:hAnsi="Arial"/>
          <w:sz w:val="24"/>
          <w:szCs w:val="24"/>
        </w:rPr>
        <w:t xml:space="preserve">Bangabandhu Hi-Tech City (Gazipur): Under development, major zone</w:t>
      </w:r>
    </w:p>
    <w:p>
      <w:pPr>
        <w:spacing w:after="120"/>
      </w:pPr>
      <w:r>
        <w:t xml:space="preserve"/>
      </w:r>
    </w:p>
    <w:p>
      <w:pPr>
        <w:pStyle w:val="Heading2"/>
      </w:pPr>
      <w:r>
        <w:t xml:space="preserve">7.2  Software Industry</w:t>
      </w:r>
    </w:p>
    <w:p>
      <w:pPr>
        <w:pStyle w:val="ListParagraph"/>
        <w:numPr>
          <w:ilvl w:val="0"/>
          <w:numId w:val="2"/>
        </w:numPr>
        <w:spacing w:after="100"/>
      </w:pPr>
      <w:r>
        <w:rPr>
          <w:rFonts w:ascii="Arial" w:cs="Arial" w:eastAsia="Arial" w:hAnsi="Arial"/>
          <w:sz w:val="24"/>
          <w:szCs w:val="24"/>
        </w:rPr>
        <w:t xml:space="preserve">Over 1,000 IT companies registered with BASIS (Bangladesh Association of Software and Information Services)</w:t>
      </w:r>
    </w:p>
    <w:p>
      <w:pPr>
        <w:pStyle w:val="ListParagraph"/>
        <w:numPr>
          <w:ilvl w:val="0"/>
          <w:numId w:val="2"/>
        </w:numPr>
        <w:spacing w:after="100"/>
      </w:pPr>
      <w:r>
        <w:rPr>
          <w:rFonts w:ascii="Arial" w:cs="Arial" w:eastAsia="Arial" w:hAnsi="Arial"/>
          <w:sz w:val="24"/>
          <w:szCs w:val="24"/>
        </w:rPr>
        <w:t xml:space="preserve">Major export: Software services, IT-enabled services (ITES), BPO</w:t>
      </w:r>
    </w:p>
    <w:p>
      <w:pPr>
        <w:pStyle w:val="ListParagraph"/>
        <w:numPr>
          <w:ilvl w:val="0"/>
          <w:numId w:val="2"/>
        </w:numPr>
        <w:spacing w:after="100"/>
      </w:pPr>
      <w:r>
        <w:rPr>
          <w:rFonts w:ascii="Arial" w:cs="Arial" w:eastAsia="Arial" w:hAnsi="Arial"/>
          <w:sz w:val="24"/>
          <w:szCs w:val="24"/>
        </w:rPr>
        <w:t xml:space="preserve">Freelancing: Bangladesh consistently ranks in top 5 globally by Payoneer/Upwork</w:t>
      </w:r>
    </w:p>
    <w:p>
      <w:pPr>
        <w:pStyle w:val="ListParagraph"/>
        <w:numPr>
          <w:ilvl w:val="0"/>
          <w:numId w:val="2"/>
        </w:numPr>
        <w:spacing w:after="100"/>
      </w:pPr>
      <w:r>
        <w:rPr>
          <w:rFonts w:ascii="Arial" w:cs="Arial" w:eastAsia="Arial" w:hAnsi="Arial"/>
          <w:sz w:val="24"/>
          <w:szCs w:val="24"/>
        </w:rPr>
        <w:t xml:space="preserve">Primary technologies exported: Web development, mobile apps, AI/ML, data entry, digital marketing</w:t>
      </w:r>
    </w:p>
    <w:p>
      <w:pPr>
        <w:spacing w:after="120"/>
      </w:pPr>
      <w:r>
        <w:t xml:space="preserve"/>
      </w:r>
    </w:p>
    <w:p>
      <w:pPr>
        <w:pStyle w:val="Heading2"/>
      </w:pPr>
      <w:r>
        <w:t xml:space="preserve">7.3  AI &amp; Data Science Landscape</w:t>
      </w:r>
    </w:p>
    <w:p>
      <w:pPr>
        <w:pStyle w:val="ListParagraph"/>
        <w:numPr>
          <w:ilvl w:val="0"/>
          <w:numId w:val="2"/>
        </w:numPr>
        <w:spacing w:after="100"/>
      </w:pPr>
      <w:r>
        <w:rPr>
          <w:rFonts w:ascii="Arial" w:cs="Arial" w:eastAsia="Arial" w:hAnsi="Arial"/>
          <w:sz w:val="24"/>
          <w:szCs w:val="24"/>
        </w:rPr>
        <w:t xml:space="preserve">Government initiative: Sheikh Hasina Digital Bangladesh Vision 2041</w:t>
      </w:r>
    </w:p>
    <w:p>
      <w:pPr>
        <w:pStyle w:val="ListParagraph"/>
        <w:numPr>
          <w:ilvl w:val="0"/>
          <w:numId w:val="2"/>
        </w:numPr>
        <w:spacing w:after="100"/>
      </w:pPr>
      <w:r>
        <w:rPr>
          <w:rFonts w:ascii="Arial" w:cs="Arial" w:eastAsia="Arial" w:hAnsi="Arial"/>
          <w:sz w:val="24"/>
          <w:szCs w:val="24"/>
        </w:rPr>
        <w:t xml:space="preserve">BUET, DU, RUET — main university AI research centers</w:t>
      </w:r>
    </w:p>
    <w:p>
      <w:pPr>
        <w:pStyle w:val="ListParagraph"/>
        <w:numPr>
          <w:ilvl w:val="0"/>
          <w:numId w:val="2"/>
        </w:numPr>
        <w:spacing w:after="100"/>
      </w:pPr>
      <w:r>
        <w:rPr>
          <w:rFonts w:ascii="Arial" w:cs="Arial" w:eastAsia="Arial" w:hAnsi="Arial"/>
          <w:sz w:val="24"/>
          <w:szCs w:val="24"/>
        </w:rPr>
        <w:t xml:space="preserve">Active communities: Data Science Bangladesh, AI Bangladesh, Bangladesh NLP Research Group</w:t>
      </w:r>
    </w:p>
    <w:p>
      <w:pPr>
        <w:pStyle w:val="ListParagraph"/>
        <w:numPr>
          <w:ilvl w:val="0"/>
          <w:numId w:val="2"/>
        </w:numPr>
        <w:spacing w:after="100"/>
      </w:pPr>
      <w:r>
        <w:rPr>
          <w:rFonts w:ascii="Arial" w:cs="Arial" w:eastAsia="Arial" w:hAnsi="Arial"/>
          <w:sz w:val="24"/>
          <w:szCs w:val="24"/>
        </w:rPr>
        <w:t xml:space="preserve">Bengali NLP resources: BengFastText, BanglaBERT, bnlp (pip install bnlp-toolkit)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Bengali NLP quickstart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pip install bnlp-toolkit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from bnlp import BasicTokenizer</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bt = BasicTokenizer()</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tokens = bt.tokenize('আমি বাংলা ভাষায় কথা বলি')</w:t>
      </w:r>
    </w:p>
    <w:p>
      <w:pPr>
        <w:spacing w:after="120"/>
      </w:pPr>
      <w:r>
        <w:t xml:space="preserve"/>
      </w:r>
    </w:p>
    <w:p>
      <w:pPr>
        <w:pStyle w:val="Heading1"/>
      </w:pPr>
      <w:r>
        <w:t xml:space="preserve">8. Legal &amp; Compliance for Developers</w:t>
      </w:r>
    </w:p>
    <w:p>
      <w:pPr>
        <w:pStyle w:val="Heading2"/>
      </w:pPr>
      <w:r>
        <w:t xml:space="preserve">8.1  Key Laws Affecting Software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Law / Regulation</w:t>
            </w:r>
          </w:p>
        </w:tc>
        <w:tc>
          <w:tcPr>
            <w:tcW w:type="dxa" w:w="5616"/>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Relevance to AI/Software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Security Act 2018</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moderation, cybercrime, defamation online</w:t>
            </w:r>
          </w:p>
        </w:tc>
      </w:tr>
      <w:tr>
        <w:tc>
          <w:tcPr>
            <w:tcW w:type="dxa" w:w="3744"/>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ICT Act 2006 (amended)</w:t>
            </w:r>
          </w:p>
        </w:tc>
        <w:tc>
          <w:tcPr>
            <w:tcW w:type="dxa" w:w="5616"/>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E-commerce, electronic signatures, cybercrimes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Bangladesh Telecommunication Act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Telecom services, data transmission regulation</w:t>
            </w:r>
          </w:p>
        </w:tc>
      </w:tr>
      <w:tr>
        <w:tc>
          <w:tcPr>
            <w:tcW w:type="dxa" w:w="3744"/>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Bangladesh Bank PSP Guidelines</w:t>
            </w:r>
          </w:p>
        </w:tc>
        <w:tc>
          <w:tcPr>
            <w:tcW w:type="dxa" w:w="5616"/>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Payment service providers, fintech compliance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National Data Center Policy</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residency requirements for government apps</w:t>
            </w:r>
          </w:p>
        </w:tc>
      </w:tr>
      <w:tr>
        <w:tc>
          <w:tcPr>
            <w:tcW w:type="dxa" w:w="3744"/>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Copyright Act 2000</w:t>
            </w:r>
          </w:p>
        </w:tc>
        <w:tc>
          <w:tcPr>
            <w:tcW w:type="dxa" w:w="5616"/>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Software IP, open-source licensing considerations</w:t>
            </w:r>
          </w:p>
        </w:tc>
      </w:tr>
    </w:tbl>
    <w:p>
      <w:pPr>
        <w:spacing w:after="120"/>
      </w:pPr>
      <w:r>
        <w:t xml:space="preserve"/>
      </w:r>
    </w:p>
    <w:p>
      <w:pPr>
        <w:pStyle w:val="Heading2"/>
      </w:pPr>
      <w:r>
        <w:t xml:space="preserve">8.2  Data Privacy Notes</w:t>
      </w:r>
    </w:p>
    <w:p>
      <w:pPr>
        <w:spacing w:after="160"/>
      </w:pPr>
      <w:r>
        <w:rPr>
          <w:rFonts w:ascii="Arial" w:cs="Arial" w:eastAsia="Arial" w:hAnsi="Arial"/>
          <w:sz w:val="24"/>
          <w:szCs w:val="24"/>
        </w:rPr>
        <w:t xml:space="preserve">Bangladesh does not yet have a comprehensive data protection law equivalent to GDPR. However, developers should note:</w:t>
      </w:r>
    </w:p>
    <w:p>
      <w:pPr>
        <w:pStyle w:val="ListParagraph"/>
        <w:numPr>
          <w:ilvl w:val="0"/>
          <w:numId w:val="2"/>
        </w:numPr>
        <w:spacing w:after="100"/>
      </w:pPr>
      <w:r>
        <w:rPr>
          <w:rFonts w:ascii="Arial" w:cs="Arial" w:eastAsia="Arial" w:hAnsi="Arial"/>
          <w:sz w:val="24"/>
          <w:szCs w:val="24"/>
        </w:rPr>
        <w:t xml:space="preserve">Bangladesh Bank has strict data residency requirements for financial data</w:t>
      </w:r>
    </w:p>
    <w:p>
      <w:pPr>
        <w:pStyle w:val="ListParagraph"/>
        <w:numPr>
          <w:ilvl w:val="0"/>
          <w:numId w:val="2"/>
        </w:numPr>
        <w:spacing w:after="100"/>
      </w:pPr>
      <w:r>
        <w:rPr>
          <w:rFonts w:ascii="Arial" w:cs="Arial" w:eastAsia="Arial" w:hAnsi="Arial"/>
          <w:sz w:val="24"/>
          <w:szCs w:val="24"/>
        </w:rPr>
        <w:t xml:space="preserve">Health data: Ministry of Health guidelines apply to digital health platforms</w:t>
      </w:r>
    </w:p>
    <w:p>
      <w:pPr>
        <w:pStyle w:val="ListParagraph"/>
        <w:numPr>
          <w:ilvl w:val="0"/>
          <w:numId w:val="2"/>
        </w:numPr>
        <w:spacing w:after="100"/>
      </w:pPr>
      <w:r>
        <w:rPr>
          <w:rFonts w:ascii="Arial" w:cs="Arial" w:eastAsia="Arial" w:hAnsi="Arial"/>
          <w:sz w:val="24"/>
          <w:szCs w:val="24"/>
        </w:rPr>
        <w:t xml:space="preserve">Personal Data Protection Act is in draft stage (as of 2024)</w:t>
      </w:r>
    </w:p>
    <w:p>
      <w:pPr>
        <w:pStyle w:val="ListParagraph"/>
        <w:numPr>
          <w:ilvl w:val="0"/>
          <w:numId w:val="2"/>
        </w:numPr>
        <w:spacing w:after="100"/>
      </w:pPr>
      <w:r>
        <w:rPr>
          <w:rFonts w:ascii="Arial" w:cs="Arial" w:eastAsia="Arial" w:hAnsi="Arial"/>
          <w:sz w:val="24"/>
          <w:szCs w:val="24"/>
        </w:rPr>
        <w:t xml:space="preserve">BTRC (Bangladesh Telecommunication Regulatory Commission) oversees internet and OTT content</w:t>
      </w:r>
    </w:p>
    <w:p>
      <w:pPr>
        <w:spacing w:after="120"/>
      </w:pPr>
      <w:r>
        <w:t xml:space="preserve"/>
      </w:r>
    </w:p>
    <w:p>
      <w:pPr>
        <w:pStyle w:val="Heading1"/>
      </w:pPr>
      <w:r>
        <w:t xml:space="preserve">9. Important APIs &amp; Government Services</w:t>
      </w:r>
    </w:p>
    <w:p>
      <w:pPr>
        <w:pStyle w:val="Heading2"/>
      </w:pPr>
      <w:r>
        <w:t xml:space="preserve">9.1  National ID &amp; Verification</w:t>
      </w:r>
    </w:p>
    <w:p>
      <w:pPr>
        <w:pStyle w:val="ListParagraph"/>
        <w:numPr>
          <w:ilvl w:val="0"/>
          <w:numId w:val="2"/>
        </w:numPr>
        <w:spacing w:after="100"/>
      </w:pPr>
      <w:r>
        <w:rPr>
          <w:rFonts w:ascii="Arial" w:cs="Arial" w:eastAsia="Arial" w:hAnsi="Arial"/>
          <w:sz w:val="24"/>
          <w:szCs w:val="24"/>
        </w:rPr>
        <w:t xml:space="preserve">NID (National ID): 10 or 17-digit number; Election Commission managed</w:t>
      </w:r>
    </w:p>
    <w:p>
      <w:pPr>
        <w:pStyle w:val="ListParagraph"/>
        <w:numPr>
          <w:ilvl w:val="0"/>
          <w:numId w:val="2"/>
        </w:numPr>
        <w:spacing w:after="100"/>
      </w:pPr>
      <w:r>
        <w:rPr>
          <w:rFonts w:ascii="Arial" w:cs="Arial" w:eastAsia="Arial" w:hAnsi="Arial"/>
          <w:sz w:val="24"/>
          <w:szCs w:val="24"/>
        </w:rPr>
        <w:t xml:space="preserve">Birth Registration Number (BRN): 17-digit, BRIS system</w:t>
      </w:r>
    </w:p>
    <w:p>
      <w:pPr>
        <w:pStyle w:val="ListParagraph"/>
        <w:numPr>
          <w:ilvl w:val="0"/>
          <w:numId w:val="2"/>
        </w:numPr>
        <w:spacing w:after="100"/>
      </w:pPr>
      <w:r>
        <w:rPr>
          <w:rFonts w:ascii="Arial" w:cs="Arial" w:eastAsia="Arial" w:hAnsi="Arial"/>
          <w:sz w:val="24"/>
          <w:szCs w:val="24"/>
        </w:rPr>
        <w:t xml:space="preserve">Passport: Machine-readable, e-Passport for new issuances</w:t>
      </w:r>
    </w:p>
    <w:p>
      <w:pPr>
        <w:pStyle w:val="ListParagraph"/>
        <w:numPr>
          <w:ilvl w:val="0"/>
          <w:numId w:val="2"/>
        </w:numPr>
        <w:spacing w:after="100"/>
      </w:pPr>
      <w:r>
        <w:rPr>
          <w:rFonts w:ascii="Arial" w:cs="Arial" w:eastAsia="Arial" w:hAnsi="Arial"/>
          <w:sz w:val="24"/>
          <w:szCs w:val="24"/>
        </w:rPr>
        <w:t xml:space="preserve">TIN (Tax ID): 12-digit, NBR (National Board of Revenue) portal: nbr.gov.bd</w:t>
      </w:r>
    </w:p>
    <w:p>
      <w:pPr>
        <w:spacing w:after="120"/>
      </w:pPr>
      <w:r>
        <w:t xml:space="preserve"/>
      </w:r>
    </w:p>
    <w:p>
      <w:pPr>
        <w:pStyle w:val="Heading2"/>
      </w:pPr>
      <w:r>
        <w:t xml:space="preserve">9.2  Government APIs &amp;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c>
          <w:tcPr>
            <w:tcW w:type="dxa" w:w="312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Service</w:t>
            </w:r>
          </w:p>
        </w:tc>
        <w:tc>
          <w:tcPr>
            <w:tcW w:type="dxa" w:w="288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URL</w:t>
            </w:r>
          </w:p>
        </w:tc>
        <w:tc>
          <w:tcPr>
            <w:tcW w:type="dxa" w:w="336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a2i (Aspire to Innovate)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a2i.gov.bd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service delivery platform</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BanglaGovPay</w:t>
            </w:r>
          </w:p>
        </w:tc>
        <w:tc>
          <w:tcPr>
            <w:tcW w:type="dxa" w:w="288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pay.gov.bd</w:t>
            </w:r>
          </w:p>
        </w:tc>
        <w:tc>
          <w:tcPr>
            <w:tcW w:type="dxa" w:w="336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Government payment gateway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BRTA (Vehicle)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brta.gov.bd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Vehicle registration &amp; driving license</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NBR eTIN</w:t>
            </w:r>
          </w:p>
        </w:tc>
        <w:tc>
          <w:tcPr>
            <w:tcW w:type="dxa" w:w="288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secure.incometax.gov.bd</w:t>
            </w:r>
          </w:p>
        </w:tc>
        <w:tc>
          <w:tcPr>
            <w:tcW w:type="dxa" w:w="336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Tax registration &amp; returns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e-Passport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epassport.gov.bd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Passport application portal</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Bangladesh Post</w:t>
            </w:r>
          </w:p>
        </w:tc>
        <w:tc>
          <w:tcPr>
            <w:tcW w:type="dxa" w:w="288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bangladeshpost.gov.bd</w:t>
            </w:r>
          </w:p>
        </w:tc>
        <w:tc>
          <w:tcPr>
            <w:tcW w:type="dxa" w:w="336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Postal tracking API (limited)</w:t>
            </w:r>
          </w:p>
        </w:tc>
      </w:tr>
    </w:tbl>
    <w:p>
      <w:pPr>
        <w:spacing w:after="120"/>
      </w:pPr>
      <w:r>
        <w:t xml:space="preserve"/>
      </w:r>
    </w:p>
    <w:p>
      <w:pPr>
        <w:pStyle w:val="Heading1"/>
      </w:pPr>
      <w:r>
        <w:t xml:space="preserve">10. Mapping &amp; Geolocation</w:t>
      </w:r>
    </w:p>
    <w:p>
      <w:pPr>
        <w:pStyle w:val="Heading2"/>
      </w:pPr>
      <w:r>
        <w:t xml:space="preserve">10.1  Coordinate Reference</w:t>
      </w:r>
    </w:p>
    <w:p>
      <w:pPr>
        <w:pStyle w:val="ListParagraph"/>
        <w:numPr>
          <w:ilvl w:val="0"/>
          <w:numId w:val="2"/>
        </w:numPr>
        <w:spacing w:after="100"/>
      </w:pPr>
      <w:r>
        <w:rPr>
          <w:rFonts w:ascii="Arial" w:cs="Arial" w:eastAsia="Arial" w:hAnsi="Arial"/>
          <w:sz w:val="24"/>
          <w:szCs w:val="24"/>
        </w:rPr>
        <w:t xml:space="preserve">Geographic coordinates: 20°34'N to 26°38'N latitude; 88°01'E to 92°41'E longitude</w:t>
      </w:r>
    </w:p>
    <w:p>
      <w:pPr>
        <w:pStyle w:val="ListParagraph"/>
        <w:numPr>
          <w:ilvl w:val="0"/>
          <w:numId w:val="2"/>
        </w:numPr>
        <w:spacing w:after="100"/>
      </w:pPr>
      <w:r>
        <w:rPr>
          <w:rFonts w:ascii="Arial" w:cs="Arial" w:eastAsia="Arial" w:hAnsi="Arial"/>
          <w:sz w:val="24"/>
          <w:szCs w:val="24"/>
        </w:rPr>
        <w:t xml:space="preserve">Projection: WGS84 (standard GPS)</w:t>
      </w:r>
    </w:p>
    <w:p>
      <w:pPr>
        <w:pStyle w:val="ListParagraph"/>
        <w:numPr>
          <w:ilvl w:val="0"/>
          <w:numId w:val="2"/>
        </w:numPr>
        <w:spacing w:after="100"/>
      </w:pPr>
      <w:r>
        <w:rPr>
          <w:rFonts w:ascii="Arial" w:cs="Arial" w:eastAsia="Arial" w:hAnsi="Arial"/>
          <w:sz w:val="24"/>
          <w:szCs w:val="24"/>
        </w:rPr>
        <w:t xml:space="preserve">Bounding box: SW 20.34, 88.01 — NE 26.63, 92.67</w:t>
      </w:r>
    </w:p>
    <w:p>
      <w:pPr>
        <w:spacing w:after="120"/>
      </w:pPr>
      <w:r>
        <w:t xml:space="preserve"/>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Bangladesh bounding box for Leaflet/Mapbox</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const BD_BOUNDS = [[20.34, 88.01], [26.63, 92.67]];</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const BD_CENTER = [23.6850, 90.3563]; // Geographic center</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const DHAKA = [23.8103, 90.4125];</w:t>
      </w:r>
    </w:p>
    <w:p>
      <w:pPr>
        <w:spacing w:after="120"/>
      </w:pPr>
      <w:r>
        <w:t xml:space="preserve"/>
      </w:r>
    </w:p>
    <w:p>
      <w:pPr>
        <w:pStyle w:val="Heading2"/>
      </w:pPr>
      <w:r>
        <w:t xml:space="preserve">10.2  Map Services Available</w:t>
      </w:r>
    </w:p>
    <w:p>
      <w:pPr>
        <w:pStyle w:val="ListParagraph"/>
        <w:numPr>
          <w:ilvl w:val="0"/>
          <w:numId w:val="2"/>
        </w:numPr>
        <w:spacing w:after="100"/>
      </w:pPr>
      <w:r>
        <w:rPr>
          <w:rFonts w:ascii="Arial" w:cs="Arial" w:eastAsia="Arial" w:hAnsi="Arial"/>
          <w:sz w:val="24"/>
          <w:szCs w:val="24"/>
        </w:rPr>
        <w:t xml:space="preserve">Google Maps Platform: Available, all features supported</w:t>
      </w:r>
    </w:p>
    <w:p>
      <w:pPr>
        <w:pStyle w:val="ListParagraph"/>
        <w:numPr>
          <w:ilvl w:val="0"/>
          <w:numId w:val="2"/>
        </w:numPr>
        <w:spacing w:after="100"/>
      </w:pPr>
      <w:r>
        <w:rPr>
          <w:rFonts w:ascii="Arial" w:cs="Arial" w:eastAsia="Arial" w:hAnsi="Arial"/>
          <w:sz w:val="24"/>
          <w:szCs w:val="24"/>
        </w:rPr>
        <w:t xml:space="preserve">OpenStreetMap: Good coverage; active OSM Bangladesh community</w:t>
      </w:r>
    </w:p>
    <w:p>
      <w:pPr>
        <w:pStyle w:val="ListParagraph"/>
        <w:numPr>
          <w:ilvl w:val="0"/>
          <w:numId w:val="2"/>
        </w:numPr>
        <w:spacing w:after="100"/>
      </w:pPr>
      <w:r>
        <w:rPr>
          <w:rFonts w:ascii="Arial" w:cs="Arial" w:eastAsia="Arial" w:hAnsi="Arial"/>
          <w:sz w:val="24"/>
          <w:szCs w:val="24"/>
        </w:rPr>
        <w:t xml:space="preserve">Mapbox: Supported, good Bangla label support</w:t>
      </w:r>
    </w:p>
    <w:p>
      <w:pPr>
        <w:pStyle w:val="ListParagraph"/>
        <w:numPr>
          <w:ilvl w:val="0"/>
          <w:numId w:val="2"/>
        </w:numPr>
        <w:spacing w:after="100"/>
      </w:pPr>
      <w:r>
        <w:rPr>
          <w:rFonts w:ascii="Arial" w:cs="Arial" w:eastAsia="Arial" w:hAnsi="Arial"/>
          <w:sz w:val="24"/>
          <w:szCs w:val="24"/>
        </w:rPr>
        <w:t xml:space="preserve">SPARRSO (Space Research): Government satellite data portal</w:t>
      </w:r>
    </w:p>
    <w:p>
      <w:pPr>
        <w:spacing w:after="120"/>
      </w:pPr>
      <w:r>
        <w:t xml:space="preserve"/>
      </w:r>
    </w:p>
    <w:p>
      <w:pPr>
        <w:pStyle w:val="Heading1"/>
      </w:pPr>
      <w:r>
        <w:t xml:space="preserve">11. Cloud &amp; Hosting Considerations</w:t>
      </w:r>
    </w:p>
    <w:p>
      <w:pPr>
        <w:pStyle w:val="Heading2"/>
      </w:pPr>
      <w:r>
        <w:t xml:space="preserve">11.1  Recommended AWS Regions</w:t>
      </w:r>
    </w:p>
    <w:p>
      <w:pPr>
        <w:pStyle w:val="ListParagraph"/>
        <w:numPr>
          <w:ilvl w:val="0"/>
          <w:numId w:val="2"/>
        </w:numPr>
        <w:spacing w:after="100"/>
      </w:pPr>
      <w:r>
        <w:rPr>
          <w:rFonts w:ascii="Arial" w:cs="Arial" w:eastAsia="Arial" w:hAnsi="Arial"/>
          <w:sz w:val="24"/>
          <w:szCs w:val="24"/>
        </w:rPr>
        <w:t xml:space="preserve">Nearest region: ap-south-1 (Mumbai) — lowest latency from Bangladesh</w:t>
      </w:r>
    </w:p>
    <w:p>
      <w:pPr>
        <w:pStyle w:val="ListParagraph"/>
        <w:numPr>
          <w:ilvl w:val="0"/>
          <w:numId w:val="2"/>
        </w:numPr>
        <w:spacing w:after="100"/>
      </w:pPr>
      <w:r>
        <w:rPr>
          <w:rFonts w:ascii="Arial" w:cs="Arial" w:eastAsia="Arial" w:hAnsi="Arial"/>
          <w:sz w:val="24"/>
          <w:szCs w:val="24"/>
        </w:rPr>
        <w:t xml:space="preserve">Alternative: ap-southeast-1 (Singapore) — well-connected via submarine cables</w:t>
      </w:r>
    </w:p>
    <w:p>
      <w:pPr>
        <w:pStyle w:val="ListParagraph"/>
        <w:numPr>
          <w:ilvl w:val="0"/>
          <w:numId w:val="2"/>
        </w:numPr>
        <w:spacing w:after="100"/>
      </w:pPr>
      <w:r>
        <w:rPr>
          <w:rFonts w:ascii="Arial" w:cs="Arial" w:eastAsia="Arial" w:hAnsi="Arial"/>
          <w:sz w:val="24"/>
          <w:szCs w:val="24"/>
        </w:rPr>
        <w:t xml:space="preserve">No AWS region within Bangladesh; data residency requirements vary by sector</w:t>
      </w:r>
    </w:p>
    <w:p>
      <w:pPr>
        <w:spacing w:after="120"/>
      </w:pPr>
      <w:r>
        <w:t xml:space="preserve"/>
      </w:r>
    </w:p>
    <w:p>
      <w:pPr>
        <w:pStyle w:val="Heading2"/>
      </w:pPr>
      <w:r>
        <w:t xml:space="preserve">11.2  Local Cloud &amp; Data Center Providers</w:t>
      </w:r>
    </w:p>
    <w:p>
      <w:pPr>
        <w:pStyle w:val="ListParagraph"/>
        <w:numPr>
          <w:ilvl w:val="0"/>
          <w:numId w:val="2"/>
        </w:numPr>
        <w:spacing w:after="100"/>
      </w:pPr>
      <w:r>
        <w:rPr>
          <w:rFonts w:ascii="Arial" w:cs="Arial" w:eastAsia="Arial" w:hAnsi="Arial"/>
          <w:sz w:val="24"/>
          <w:szCs w:val="24"/>
        </w:rPr>
        <w:t xml:space="preserve">Bangladesh National Data Center (Kaliakair) — government workloads</w:t>
      </w:r>
    </w:p>
    <w:p>
      <w:pPr>
        <w:pStyle w:val="ListParagraph"/>
        <w:numPr>
          <w:ilvl w:val="0"/>
          <w:numId w:val="2"/>
        </w:numPr>
        <w:spacing w:after="100"/>
      </w:pPr>
      <w:r>
        <w:rPr>
          <w:rFonts w:ascii="Arial" w:cs="Arial" w:eastAsia="Arial" w:hAnsi="Arial"/>
          <w:sz w:val="24"/>
          <w:szCs w:val="24"/>
        </w:rPr>
        <w:t xml:space="preserve">Ranks IT — local cloud/hosting provider</w:t>
      </w:r>
    </w:p>
    <w:p>
      <w:pPr>
        <w:pStyle w:val="ListParagraph"/>
        <w:numPr>
          <w:ilvl w:val="0"/>
          <w:numId w:val="2"/>
        </w:numPr>
        <w:spacing w:after="100"/>
      </w:pPr>
      <w:r>
        <w:rPr>
          <w:rFonts w:ascii="Arial" w:cs="Arial" w:eastAsia="Arial" w:hAnsi="Arial"/>
          <w:sz w:val="24"/>
          <w:szCs w:val="24"/>
        </w:rPr>
        <w:t xml:space="preserve">TechnoNext — local cloud services</w:t>
      </w:r>
    </w:p>
    <w:p>
      <w:pPr>
        <w:pStyle w:val="ListParagraph"/>
        <w:numPr>
          <w:ilvl w:val="0"/>
          <w:numId w:val="2"/>
        </w:numPr>
        <w:spacing w:after="100"/>
      </w:pPr>
      <w:r>
        <w:rPr>
          <w:rFonts w:ascii="Arial" w:cs="Arial" w:eastAsia="Arial" w:hAnsi="Arial"/>
          <w:sz w:val="24"/>
          <w:szCs w:val="24"/>
        </w:rPr>
        <w:t xml:space="preserve">DataSoft — local hosting and IT services</w:t>
      </w:r>
    </w:p>
    <w:p>
      <w:pPr>
        <w:spacing w:after="120"/>
      </w:pPr>
      <w:r>
        <w:t xml:space="preserve"/>
      </w:r>
    </w:p>
    <w:p>
      <w:pPr>
        <w:pStyle w:val="Heading2"/>
      </w:pPr>
      <w:r>
        <w:t xml:space="preserve">11.3  CDN &amp; Performance Tips</w:t>
      </w:r>
    </w:p>
    <w:p>
      <w:pPr>
        <w:pStyle w:val="ListParagraph"/>
        <w:numPr>
          <w:ilvl w:val="0"/>
          <w:numId w:val="2"/>
        </w:numPr>
        <w:spacing w:after="100"/>
      </w:pPr>
      <w:r>
        <w:rPr>
          <w:rFonts w:ascii="Arial" w:cs="Arial" w:eastAsia="Arial" w:hAnsi="Arial"/>
          <w:sz w:val="24"/>
          <w:szCs w:val="24"/>
        </w:rPr>
        <w:t xml:space="preserve">Use CDN edge nodes in Mumbai or Singapore for best BD performance</w:t>
      </w:r>
    </w:p>
    <w:p>
      <w:pPr>
        <w:pStyle w:val="ListParagraph"/>
        <w:numPr>
          <w:ilvl w:val="0"/>
          <w:numId w:val="2"/>
        </w:numPr>
        <w:spacing w:after="100"/>
      </w:pPr>
      <w:r>
        <w:rPr>
          <w:rFonts w:ascii="Arial" w:cs="Arial" w:eastAsia="Arial" w:hAnsi="Arial"/>
          <w:sz w:val="24"/>
          <w:szCs w:val="24"/>
        </w:rPr>
        <w:t xml:space="preserve">Average internet speed: 25–50 Mbps broadband; 10–25 Mbps 4G mobile</w:t>
      </w:r>
    </w:p>
    <w:p>
      <w:pPr>
        <w:pStyle w:val="ListParagraph"/>
        <w:numPr>
          <w:ilvl w:val="0"/>
          <w:numId w:val="2"/>
        </w:numPr>
        <w:spacing w:after="100"/>
      </w:pPr>
      <w:r>
        <w:rPr>
          <w:rFonts w:ascii="Arial" w:cs="Arial" w:eastAsia="Arial" w:hAnsi="Arial"/>
          <w:sz w:val="24"/>
          <w:szCs w:val="24"/>
        </w:rPr>
        <w:t xml:space="preserve">Optimize for mobile-first: 70%+ of BD internet users access via mobile</w:t>
      </w:r>
    </w:p>
    <w:p>
      <w:pPr>
        <w:pStyle w:val="ListParagraph"/>
        <w:numPr>
          <w:ilvl w:val="0"/>
          <w:numId w:val="2"/>
        </w:numPr>
        <w:spacing w:after="100"/>
      </w:pPr>
      <w:r>
        <w:rPr>
          <w:rFonts w:ascii="Arial" w:cs="Arial" w:eastAsia="Arial" w:hAnsi="Arial"/>
          <w:sz w:val="24"/>
          <w:szCs w:val="24"/>
        </w:rPr>
        <w:t xml:space="preserve">Consider SMS-based OTP fallback for authentication (high SMS reliability)</w:t>
      </w:r>
    </w:p>
    <w:p>
      <w:pPr>
        <w:spacing w:after="120"/>
      </w:pPr>
      <w:r>
        <w:t xml:space="preserve"/>
      </w:r>
    </w:p>
    <w:p>
      <w:pPr>
        <w:pStyle w:val="Heading1"/>
      </w:pPr>
      <w:r>
        <w:t xml:space="preserve">12. Cultural &amp; UX Considerations for AI Tools</w:t>
      </w:r>
    </w:p>
    <w:p>
      <w:pPr>
        <w:pStyle w:val="Heading2"/>
      </w:pPr>
      <w:r>
        <w:t xml:space="preserve">12.1  Language &amp; Content</w:t>
      </w:r>
    </w:p>
    <w:p>
      <w:pPr>
        <w:pStyle w:val="ListParagraph"/>
        <w:numPr>
          <w:ilvl w:val="0"/>
          <w:numId w:val="2"/>
        </w:numPr>
        <w:spacing w:after="100"/>
      </w:pPr>
      <w:r>
        <w:rPr>
          <w:rFonts w:ascii="Arial" w:cs="Arial" w:eastAsia="Arial" w:hAnsi="Arial"/>
          <w:sz w:val="24"/>
          <w:szCs w:val="24"/>
        </w:rPr>
        <w:t xml:space="preserve">Offer both Bengali (bn-BD) and English interfaces — bilingual is standard</w:t>
      </w:r>
    </w:p>
    <w:p>
      <w:pPr>
        <w:pStyle w:val="ListParagraph"/>
        <w:numPr>
          <w:ilvl w:val="0"/>
          <w:numId w:val="2"/>
        </w:numPr>
        <w:spacing w:after="100"/>
      </w:pPr>
      <w:r>
        <w:rPr>
          <w:rFonts w:ascii="Arial" w:cs="Arial" w:eastAsia="Arial" w:hAnsi="Arial"/>
          <w:sz w:val="24"/>
          <w:szCs w:val="24"/>
        </w:rPr>
        <w:t xml:space="preserve">Formal Bengali preferred in official/professional contexts</w:t>
      </w:r>
    </w:p>
    <w:p>
      <w:pPr>
        <w:pStyle w:val="ListParagraph"/>
        <w:numPr>
          <w:ilvl w:val="0"/>
          <w:numId w:val="2"/>
        </w:numPr>
        <w:spacing w:after="100"/>
      </w:pPr>
      <w:r>
        <w:rPr>
          <w:rFonts w:ascii="Arial" w:cs="Arial" w:eastAsia="Arial" w:hAnsi="Arial"/>
          <w:sz w:val="24"/>
          <w:szCs w:val="24"/>
        </w:rPr>
        <w:t xml:space="preserve">Avoid transliteration; use proper Bengali Unicode, not Banglish</w:t>
      </w:r>
    </w:p>
    <w:p>
      <w:pPr>
        <w:pStyle w:val="ListParagraph"/>
        <w:numPr>
          <w:ilvl w:val="0"/>
          <w:numId w:val="2"/>
        </w:numPr>
        <w:spacing w:after="100"/>
      </w:pPr>
      <w:r>
        <w:rPr>
          <w:rFonts w:ascii="Arial" w:cs="Arial" w:eastAsia="Arial" w:hAnsi="Arial"/>
          <w:sz w:val="24"/>
          <w:szCs w:val="24"/>
        </w:rPr>
        <w:t xml:space="preserve">Religious sensitivity: ~90% Muslim; avoid pork, alcohol references in content</w:t>
      </w:r>
    </w:p>
    <w:p>
      <w:pPr>
        <w:pStyle w:val="ListParagraph"/>
        <w:numPr>
          <w:ilvl w:val="0"/>
          <w:numId w:val="2"/>
        </w:numPr>
        <w:spacing w:after="100"/>
      </w:pPr>
      <w:r>
        <w:rPr>
          <w:rFonts w:ascii="Arial" w:cs="Arial" w:eastAsia="Arial" w:hAnsi="Arial"/>
          <w:sz w:val="24"/>
          <w:szCs w:val="24"/>
        </w:rPr>
        <w:t xml:space="preserve">Use 'Assalamu Alaikum' greetings for Islamic holidays in notifications</w:t>
      </w:r>
    </w:p>
    <w:p>
      <w:pPr>
        <w:spacing w:after="120"/>
      </w:pPr>
      <w:r>
        <w:t xml:space="preserve"/>
      </w:r>
    </w:p>
    <w:p>
      <w:pPr>
        <w:pStyle w:val="Heading2"/>
      </w:pPr>
      <w:r>
        <w:t xml:space="preserve">12.2  Accessibility &amp; Device Profiles</w:t>
      </w:r>
    </w:p>
    <w:p>
      <w:pPr>
        <w:pStyle w:val="ListParagraph"/>
        <w:numPr>
          <w:ilvl w:val="0"/>
          <w:numId w:val="2"/>
        </w:numPr>
        <w:spacing w:after="100"/>
      </w:pPr>
      <w:r>
        <w:rPr>
          <w:rFonts w:ascii="Arial" w:cs="Arial" w:eastAsia="Arial" w:hAnsi="Arial"/>
          <w:sz w:val="24"/>
          <w:szCs w:val="24"/>
        </w:rPr>
        <w:t xml:space="preserve">Low-end Android devices common: target 2GB RAM, Android 8+ minimum</w:t>
      </w:r>
    </w:p>
    <w:p>
      <w:pPr>
        <w:pStyle w:val="ListParagraph"/>
        <w:numPr>
          <w:ilvl w:val="0"/>
          <w:numId w:val="2"/>
        </w:numPr>
        <w:spacing w:after="100"/>
      </w:pPr>
      <w:r>
        <w:rPr>
          <w:rFonts w:ascii="Arial" w:cs="Arial" w:eastAsia="Arial" w:hAnsi="Arial"/>
          <w:sz w:val="24"/>
          <w:szCs w:val="24"/>
        </w:rPr>
        <w:t xml:space="preserve">PWA (Progressive Web App) approach recommended for broader device coverage</w:t>
      </w:r>
    </w:p>
    <w:p>
      <w:pPr>
        <w:pStyle w:val="ListParagraph"/>
        <w:numPr>
          <w:ilvl w:val="0"/>
          <w:numId w:val="2"/>
        </w:numPr>
        <w:spacing w:after="100"/>
      </w:pPr>
      <w:r>
        <w:rPr>
          <w:rFonts w:ascii="Arial" w:cs="Arial" w:eastAsia="Arial" w:hAnsi="Arial"/>
          <w:sz w:val="24"/>
          <w:szCs w:val="24"/>
        </w:rPr>
        <w:t xml:space="preserve">Network-resilient design: implement offline support / service workers</w:t>
      </w:r>
    </w:p>
    <w:p>
      <w:pPr>
        <w:pStyle w:val="ListParagraph"/>
        <w:numPr>
          <w:ilvl w:val="0"/>
          <w:numId w:val="2"/>
        </w:numPr>
        <w:spacing w:after="100"/>
      </w:pPr>
      <w:r>
        <w:rPr>
          <w:rFonts w:ascii="Arial" w:cs="Arial" w:eastAsia="Arial" w:hAnsi="Arial"/>
          <w:sz w:val="24"/>
          <w:szCs w:val="24"/>
        </w:rPr>
        <w:t xml:space="preserve">Bangla keyboard input: support both Avro (phonetic) and Bijoy (layout) methods</w:t>
      </w:r>
    </w:p>
    <w:p>
      <w:pPr>
        <w:spacing w:after="120"/>
      </w:pPr>
      <w:r>
        <w:t xml:space="preserve"/>
      </w:r>
    </w:p>
    <w:p>
      <w:pPr>
        <w:pStyle w:val="Heading2"/>
      </w:pPr>
      <w:r>
        <w:t xml:space="preserve">12.3  AI Prompt Engineering for Bangla</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 System prompt for Bengali-language AI assistant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const systemPrompt = `</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You are a helpful assistant. Always respond in Bengali (Bangla script,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bn-BD locale) unless the user explicitly writes in English.</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Use formal Bengali (সম্মানজনক ভাষা) by default.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Format numbers using South Asian grouping (lakh/crore system).</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Dates should be in DD/MM/YYYY format.</w:t>
      </w:r>
    </w:p>
    <w:p>
      <w:pPr>
        <w:pBdr>
          <w:left w:val="single" w:color="006A4E" w:sz="12" w:space="6"/>
        </w:pBdr>
        <w:shd w:fill="F4F4F4" w:val="clear"/>
        <w:spacing w:before="80" w:after="80"/>
        <w:ind w:left="360"/>
      </w:pPr>
      <w:r>
        <w:rPr>
          <w:rFonts w:ascii="Courier New" w:cs="Courier New" w:eastAsia="Courier New" w:hAnsi="Courier New"/>
          <w:sz w:val="20"/>
          <w:szCs w:val="20"/>
        </w:rPr>
        <w:t xml:space="preserve">`;</w:t>
      </w:r>
    </w:p>
    <w:p>
      <w:pPr>
        <w:spacing w:after="120"/>
      </w:pPr>
      <w:r>
        <w:t xml:space="preserve"/>
      </w:r>
    </w:p>
    <w:p>
      <w:pPr>
        <w:pStyle w:val="Heading1"/>
      </w:pPr>
      <w:r>
        <w:t xml:space="preserve">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Parameter</w:t>
            </w:r>
          </w:p>
        </w:tc>
        <w:tc>
          <w:tcPr>
            <w:tcW w:type="dxa" w:w="6240"/>
            <w:tcBorders>
              <w:top w:val="single" w:color="006A4E" w:sz="1"/>
              <w:left w:val="single" w:color="006A4E" w:sz="1"/>
              <w:bottom w:val="single" w:color="006A4E" w:sz="1"/>
              <w:right w:val="single" w:color="006A4E" w:sz="1"/>
            </w:tcBorders>
            <w:shd w:fill="006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 3166-1 alpha-2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BD</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ISO 3166-1 alpha-3</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BGD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Currency code (ISO 4217)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BDT</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Currency symbol</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  (U+09F3)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Locale code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bn-BD</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Timezone</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Asia/Dhaka  (UTC+6)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Phone country code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+880</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Phone regex</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/^(?:\+880|880|0)?1[3-9]\d{8}$/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Postal code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digits: /^[0-9]{4}$/</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Internet TLD</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DD/MM/YYYY</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Working days</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Sunday–Thursday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Nearest AWS region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ap-south-1 (Mumbai)</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Map center (lat/lng)</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23.6850, 90.3563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Bounding box (SW)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20.34, 88.01</w:t>
            </w:r>
          </w:p>
        </w:tc>
      </w:tr>
      <w:tr>
        <w:tc>
          <w:tcPr>
            <w:tcW w:type="dxa" w:w="312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Bounding box (NE)</w:t>
            </w:r>
          </w:p>
        </w:tc>
        <w:tc>
          <w:tcPr>
            <w:tcW w:type="dxa" w:w="6240"/>
            <w:tcBorders>
              <w:top w:val="single" w:color="CCCCCC" w:sz="1"/>
              <w:left w:val="single" w:color="CCCCCC" w:sz="1"/>
              <w:bottom w:val="single" w:color="CCCCCC" w:sz="1"/>
              <w:right w:val="single" w:color="CCCCCC" w:sz="1"/>
            </w:tcBorders>
            <w:shd w:fill="F0F8F4" w:val="clear"/>
            <w:tcMar>
              <w:top w:type="dxa" w:w="80"/>
              <w:left w:type="dxa" w:w="120"/>
              <w:bottom w:type="dxa" w:w="80"/>
              <w:right w:type="dxa" w:w="120"/>
            </w:tcMar>
          </w:tcPr>
          <w:p>
            <w:r>
              <w:rPr>
                <w:rFonts w:ascii="Arial" w:cs="Arial" w:eastAsia="Arial" w:hAnsi="Arial"/>
                <w:sz w:val="22"/>
                <w:szCs w:val="22"/>
              </w:rPr>
              <w:t xml:space="preserve">26.63, 92.67</w:t>
            </w:r>
          </w:p>
        </w:tc>
      </w:tr>
    </w:tbl>
    <w:p>
      <w:pPr>
        <w:spacing w:after="120"/>
      </w:pPr>
      <w:r>
        <w:t xml:space="preserve"/>
      </w:r>
    </w:p>
    <w:p>
      <w:pPr>
        <w:spacing w:after="120"/>
      </w:pPr>
      <w:r>
        <w:t xml:space="preserve"/>
      </w:r>
    </w:p>
    <w:p>
      <w:pPr>
        <w:pBdr>
          <w:top w:val="single" w:color="006A4E" w:sz="4" w:space="4"/>
        </w:pBdr>
        <w:spacing w:before="200" w:after="80"/>
        <w:jc w:val="center"/>
      </w:pPr>
      <w:r>
        <w:rPr>
          <w:rFonts w:ascii="Arial" w:cs="Arial" w:eastAsia="Arial" w:hAnsi="Arial"/>
          <w:color w:val="888888"/>
          <w:sz w:val="18"/>
          <w:szCs w:val="18"/>
        </w:rPr>
        <w:t xml:space="preserve">Prepared for AI Coding Tool Integration Reference  |  Bangladesh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2A41" w:sz="4" w:space="4"/>
      </w:pBdr>
      <w:tabs>
        <w:tab w:val="right" w:pos="9360"/>
      </w:tabs>
      <w:spacing w:before="100"/>
    </w:pPr>
    <w:r>
      <w:rPr>
        <w:rFonts w:ascii="Arial" w:cs="Arial" w:eastAsia="Arial" w:hAnsi="Arial"/>
        <w:color w:val="888888"/>
        <w:sz w:val="18"/>
        <w:szCs w:val="18"/>
      </w:rPr>
      <w:t xml:space="preserve">Bangladesh Tech Reference</w:t>
    </w:r>
    <w:r>
      <w:rPr>
        <w:rFonts w:ascii="Arial" w:cs="Arial" w:eastAsia="Arial" w:hAnsi="Arial"/>
        <w:color w:val="888888"/>
        <w:sz w:val="18"/>
        <w:szCs w:val="18"/>
      </w:rPr>
      <w:t xml:space="preserve">	Page </w:t>
    </w:r>
    <w:r>
      <w:rPr>
        <w:rFonts w:ascii="Arial" w:cs="Arial" w:eastAsia="Arial" w:hAnsi="Arial"/>
        <w:color w:val="006A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A4E" w:sz="4" w:space="4"/>
      </w:pBdr>
      <w:spacing w:after="120"/>
    </w:pPr>
    <w:r>
      <w:rPr>
        <w:rFonts w:ascii="Arial" w:cs="Arial" w:eastAsia="Arial" w:hAnsi="Arial"/>
        <w:b/>
        <w:bCs/>
        <w:color w:val="006A4E"/>
        <w:sz w:val="20"/>
        <w:szCs w:val="20"/>
      </w:rPr>
      <w:t xml:space="preserve">Bangladesh — AI Coding Tool Reference</w:t>
    </w:r>
    <w:r>
      <w:rPr>
        <w:rFonts w:ascii="Arial" w:cs="Arial" w:eastAsia="Arial" w:hAnsi="Arial"/>
        <w:color w:val="888888"/>
        <w:sz w:val="18"/>
        <w:szCs w:val="18"/>
      </w:rPr>
      <w:t xml:space="preserve">   |   For Developer &amp; AI Integrations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A4E" w:sz="4" w:space="4"/>
      </w:pBdr>
      <w:spacing w:before="360" w:after="200"/>
      <w:outlineLvl w:val="0"/>
    </w:pPr>
    <w:rPr>
      <w:rFonts w:ascii="Arial" w:cs="Arial" w:eastAsia="Arial" w:hAnsi="Arial"/>
      <w:b/>
      <w:bCs/>
      <w:color w:val="006A4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F42A4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2026-03-16T20:26:49.717Z</dcterms:created>
  <dcterms:modified xsi:type="dcterms:W3CDTF">2026-03-16T20:26:49.718Z</dcterms:modified>
</cp:coreProperties>
</file>

<file path=docProps/custom.xml><?xml version="1.0" encoding="utf-8"?>
<Properties xmlns="http://schemas.openxmlformats.org/officeDocument/2006/custom-properties" xmlns:vt="http://schemas.openxmlformats.org/officeDocument/2006/docPropsVTypes"/>
</file>