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A69" w:rsidRPr="00E86A69" w:rsidRDefault="00E86A69" w:rsidP="00E86A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6A69">
        <w:rPr>
          <w:rFonts w:ascii="Times New Roman" w:eastAsia="Times New Roman" w:hAnsi="Times New Roman" w:cs="Times New Roman"/>
          <w:b/>
          <w:bCs/>
          <w:sz w:val="27"/>
          <w:szCs w:val="27"/>
        </w:rPr>
        <w:t>Project Evaluation Report: Jahangirnagar University Student Information System (JUSIS)</w:t>
      </w:r>
    </w:p>
    <w:p w:rsidR="00E86A69" w:rsidRPr="00E86A69" w:rsidRDefault="00E86A69" w:rsidP="00E86A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Part A: Programme Context</w:t>
      </w:r>
    </w:p>
    <w:p w:rsidR="00E86A69" w:rsidRPr="00E86A69" w:rsidRDefault="00E86A69" w:rsidP="00E86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1. Programme vs. Project Justification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JUSIS is not just a single project; it is a strategic programme. It consists of a group of projects that are managed in a co-ordinated way to gain benefits that would not be possible were the projects to be managed independently. Two sub-projects under this programme are: </w:t>
      </w:r>
    </w:p>
    <w:p w:rsidR="00E86A69" w:rsidRPr="00E86A69" w:rsidRDefault="00E86A69" w:rsidP="00E86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Admission Module: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For online applications and enrollment.</w:t>
      </w:r>
    </w:p>
    <w:p w:rsidR="00E86A69" w:rsidRPr="00E86A69" w:rsidRDefault="00E86A69" w:rsidP="00E86A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Examination Module: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For digital grading and transcript generation.</w:t>
      </w:r>
    </w:p>
    <w:p w:rsidR="00E86A69" w:rsidRPr="00E86A69" w:rsidRDefault="00E86A69" w:rsidP="00E86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2. Programme Mandate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The initial planning document is the Programme Mandate. For JUSIS, the mandate is to deliver a new capability to centrally manage all student records, replacing manual files. This perfectly fits JU's organizational goal of becoming a "Digital University". </w:t>
      </w:r>
    </w:p>
    <w:p w:rsidR="00E86A69" w:rsidRPr="00E86A69" w:rsidRDefault="00E86A69" w:rsidP="00E86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3. Vision Statement &amp; Blueprint</w:t>
      </w:r>
    </w:p>
    <w:p w:rsidR="00E86A69" w:rsidRPr="00E86A69" w:rsidRDefault="00E86A69" w:rsidP="00E86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Vision Statement: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JUSIS will provide the new capability to seamlessly manage academic and administrative data in real-time. </w:t>
      </w:r>
    </w:p>
    <w:p w:rsidR="00E86A69" w:rsidRPr="00E86A69" w:rsidRDefault="00E86A69" w:rsidP="00E86A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Blueprint: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To obtain this capability, the changes to be made include installing new central servers, upgrading campus networks, and re-training administrative staff. </w:t>
      </w:r>
    </w:p>
    <w:p w:rsidR="00E86A69" w:rsidRPr="00E86A69" w:rsidRDefault="00E86A69" w:rsidP="00E86A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Part B: Benefits Management Plan</w:t>
      </w:r>
    </w:p>
    <w:p w:rsidR="00E86A69" w:rsidRPr="00E86A69" w:rsidRDefault="00E86A69" w:rsidP="00E86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Providing an organization with a capability does not guarantee that this will provide benefits envisaged. Here are 6 expected benefits for JUSIS: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6676"/>
      </w:tblGrid>
      <w:tr w:rsidR="00E86A69" w:rsidRPr="00E86A69" w:rsidTr="00E86A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Benefit for JUSIS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A) Quantified and Valued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Automating transcript generation saves 3 admin staff 10 hours/week. Value = 3 staff × 10hrs × BDT 500/hr × 52 weeks = BDT 780,000/year. 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A) Quantified and Valued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Paperless forms reduce printing costs. Value = 15,000 applicants × BDT 50 = BDT 750,000/year. 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B) Quantified but not Valued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50% decrease in manual data entry errors across all departments. 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B) Quantified but not Valued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60% reduction in student wait times for registration inquiries. 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C) Identified but not easily Quantified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Improved public reputation for the university due to a modern digital system. 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C) Identified but not easily Quantified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more motivated workforce as staff are freed from repetitive manual filing. </w:t>
            </w:r>
          </w:p>
        </w:tc>
      </w:tr>
    </w:tbl>
    <w:p w:rsidR="00E86A69" w:rsidRPr="00E86A69" w:rsidRDefault="00E86A69" w:rsidP="00E86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Benefits Monitoring: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Benefits management has to be outside the project because the project will have been completed. The Programme Director will be responsible to monitor achievement of benefits post-launch. </w:t>
      </w:r>
    </w:p>
    <w:p w:rsidR="00E86A69" w:rsidRPr="00E86A69" w:rsidRDefault="00E86A69" w:rsidP="00E86A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Part C: Cost-Benefit Analysis &amp; Cash Flow Forecasting</w:t>
      </w:r>
    </w:p>
    <w:p w:rsidR="00E86A69" w:rsidRPr="00E86A69" w:rsidRDefault="00E86A69" w:rsidP="00E86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1. Cash Flow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655"/>
        <w:gridCol w:w="1887"/>
        <w:gridCol w:w="2074"/>
        <w:gridCol w:w="2786"/>
      </w:tblGrid>
      <w:tr w:rsidR="00E86A69" w:rsidRPr="00E86A69" w:rsidTr="00E86A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Costs (BDT)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Benefits (BDT)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Cash-flow (BDT)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Accumulated Net (BDT)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4,500,000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-4,500,000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-4,500,000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800,000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200,000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-4,300,000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1,200,000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-3,700,000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1,800,000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1,200,000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-2,500,000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2,200,000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1,600,000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-900,000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2,600,000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2,000,000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1,100,000</w:t>
            </w:r>
          </w:p>
        </w:tc>
      </w:tr>
    </w:tbl>
    <w:p w:rsidR="00E86A69" w:rsidRPr="00E86A69" w:rsidRDefault="00E86A69" w:rsidP="00E86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Note: Year 0 represents all the costs before system is operation. Cash-flow is value of income less outgoing. </w:t>
      </w:r>
    </w:p>
    <w:p w:rsidR="00E86A69" w:rsidRPr="00E86A69" w:rsidRDefault="00E86A69" w:rsidP="00E86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2. Total Net Profit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Net profit is the value of all the cash-flows for the lifetime of the application. </w:t>
      </w:r>
    </w:p>
    <w:p w:rsidR="00E86A69" w:rsidRPr="00E86A69" w:rsidRDefault="00E86A69" w:rsidP="00E86A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Total Net Profit = (-4.5M + 200k + 600k + 1.2M + 1.6M + 2.0M) = </w:t>
      </w: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BDT 1,100,000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86A69" w:rsidRPr="00E86A69" w:rsidRDefault="00E86A69" w:rsidP="00E86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3. Payback Period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This is the time it takes to start generating a surplus of income over outgoings. </w:t>
      </w:r>
    </w:p>
    <w:p w:rsidR="00E86A69" w:rsidRPr="00E86A69" w:rsidRDefault="00E86A69" w:rsidP="00E86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sz w:val="24"/>
          <w:szCs w:val="24"/>
        </w:rPr>
        <w:t>At the end of Year 4, the deficit is BDT 900,000.</w:t>
      </w:r>
    </w:p>
    <w:p w:rsidR="00E86A69" w:rsidRPr="00E86A69" w:rsidRDefault="00E86A69" w:rsidP="00E86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sz w:val="24"/>
          <w:szCs w:val="24"/>
        </w:rPr>
        <w:t>Year 5 cash flow is BDT 2,000,000.</w:t>
      </w:r>
    </w:p>
    <w:p w:rsidR="00E86A69" w:rsidRPr="00E86A69" w:rsidRDefault="00E86A69" w:rsidP="00E86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sz w:val="24"/>
          <w:szCs w:val="24"/>
        </w:rPr>
        <w:t>Remaining time = (900,000 / 2,000,000) = 0.45 years.</w:t>
      </w:r>
    </w:p>
    <w:p w:rsidR="00E86A69" w:rsidRPr="00E86A69" w:rsidRDefault="00E86A69" w:rsidP="00E86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sz w:val="24"/>
          <w:szCs w:val="24"/>
        </w:rPr>
        <w:t>0.45 years × 12 months = 5.4 months.</w:t>
      </w:r>
    </w:p>
    <w:p w:rsidR="00E86A69" w:rsidRPr="00E86A69" w:rsidRDefault="00E86A69" w:rsidP="00E86A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4 years and 5 months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(approx).</w:t>
      </w:r>
    </w:p>
    <w:p w:rsidR="00E86A69" w:rsidRPr="00E86A69" w:rsidRDefault="00E86A69" w:rsidP="00E86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4. Return on Investment (ROI)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Formula: (Average annual profit / Total investment) × 100. </w:t>
      </w:r>
    </w:p>
    <w:p w:rsidR="00E86A69" w:rsidRPr="00E86A69" w:rsidRDefault="00E86A69" w:rsidP="00E86A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Average annual profit = 1,100,000 / 5 = BDT 220,000. </w:t>
      </w:r>
    </w:p>
    <w:p w:rsidR="00E86A69" w:rsidRPr="00E86A69" w:rsidRDefault="00E86A69" w:rsidP="00E86A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ROI = (220,000 / 4,500,000) × 100 = </w:t>
      </w: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4.88%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86A69" w:rsidRPr="00E86A69" w:rsidRDefault="00E86A69" w:rsidP="00E86A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Part D: Net Present Value (NPV) &amp; Internal Rate of Return (IRR)</w:t>
      </w:r>
    </w:p>
    <w:p w:rsidR="00E86A69" w:rsidRPr="00E86A69" w:rsidRDefault="00E86A69" w:rsidP="00E86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1. Calculate NPV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Discount factor = $1/(1+r)^t$, where $r = 0.12$.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174"/>
        <w:gridCol w:w="2000"/>
        <w:gridCol w:w="3309"/>
      </w:tblGrid>
      <w:tr w:rsidR="00E86A69" w:rsidRPr="00E86A69" w:rsidTr="00E86A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Cash-flow (BDT)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Discount factor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Discounted cash flow (BDT)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-4,500,000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1.0000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-4,500,000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200,000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0.8929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178,571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0.7972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478,316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1,200,000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0.7118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854,136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1,600,000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0.6355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1,016,830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2,000,000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0.5674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1,134,854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NPV = -837,293</w:t>
            </w:r>
          </w:p>
        </w:tc>
      </w:tr>
    </w:tbl>
    <w:p w:rsidR="00E86A69" w:rsidRPr="00E86A69" w:rsidRDefault="00E86A69" w:rsidP="00E86A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The project is </w:t>
      </w: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not financially worthwhile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under a 12% discount rate over 5 years. The negative NPV means the returns are lower than what the university could earn by simply investing the money elsewhere at 12% interest.</w:t>
      </w:r>
    </w:p>
    <w:p w:rsidR="00E86A69" w:rsidRPr="00E86A69" w:rsidRDefault="00E86A69" w:rsidP="00E86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2. Interpret IRR</w:t>
      </w:r>
    </w:p>
    <w:p w:rsidR="00E86A69" w:rsidRPr="00E86A69" w:rsidRDefault="00E86A69" w:rsidP="00E86A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Internal rate of return (IRR) is the discount rate that would produce an NPV of 0 for the project. </w:t>
      </w:r>
    </w:p>
    <w:p w:rsidR="00E86A69" w:rsidRPr="00E86A69" w:rsidRDefault="00E86A69" w:rsidP="00E86A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If the IRR is 18% and the borrowing rate is 12%, the university </w:t>
      </w: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should proceed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>. This means the project generates an 18% return, easily covering the 12% cost of borrowing the funds, ultimately creating financial value.</w:t>
      </w:r>
    </w:p>
    <w:p w:rsidR="00E86A69" w:rsidRPr="00E86A69" w:rsidRDefault="00E86A69" w:rsidP="00E86A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Part E: Risk Evaluation &amp; Decision Analysis</w:t>
      </w:r>
    </w:p>
    <w:p w:rsidR="00E86A69" w:rsidRPr="00E86A69" w:rsidRDefault="00E86A69" w:rsidP="00E86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Risk Matrix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We can draw up a project risk matrix to assess risks.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5"/>
        <w:gridCol w:w="1667"/>
        <w:gridCol w:w="2588"/>
      </w:tblGrid>
      <w:tr w:rsidR="00E86A69" w:rsidRPr="00E86A69" w:rsidTr="00E86A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Risk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Importance (Impact)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1. Resistance from administrative staff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High (H)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High (H)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2. Legacy data migration errors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Medium 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High (H)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3. Development budget exceeded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Medium 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Medium (M)</w:t>
            </w:r>
          </w:p>
        </w:tc>
      </w:tr>
      <w:tr w:rsidR="00E86A69" w:rsidRPr="00E86A69" w:rsidTr="00E86A6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4. System response time targets not met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High (H)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6A69" w:rsidRPr="00E86A69" w:rsidRDefault="00E86A69" w:rsidP="00E86A6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A69">
              <w:rPr>
                <w:rFonts w:ascii="Times New Roman" w:eastAsia="Times New Roman" w:hAnsi="Times New Roman" w:cs="Times New Roman"/>
                <w:sz w:val="24"/>
                <w:szCs w:val="24"/>
              </w:rPr>
              <w:t>Low (L)</w:t>
            </w:r>
          </w:p>
        </w:tc>
      </w:tr>
    </w:tbl>
    <w:p w:rsidR="00E86A69" w:rsidRPr="00E86A69" w:rsidRDefault="00E86A69" w:rsidP="00E86A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 Strategy (For Risk 1):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A project may fail not through poor management but because it should never have been started. To avoid this, we will ensure end-users are heavily involved from the beginning and provide thorough training programs so they accept the new system rather than resist it. </w:t>
      </w:r>
    </w:p>
    <w:p w:rsidR="00E86A69" w:rsidRPr="00E86A69" w:rsidRDefault="00E86A69" w:rsidP="00E86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2. Decision Tree Analysis</w:t>
      </w:r>
    </w:p>
    <w:p w:rsidR="00E86A69" w:rsidRPr="00E86A69" w:rsidRDefault="00E86A69" w:rsidP="00E86A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sz w:val="24"/>
          <w:szCs w:val="24"/>
        </w:rPr>
        <w:t>Assuming a standardized financial benefit of BDT 10,000,000 for a successful system.</w:t>
      </w:r>
    </w:p>
    <w:p w:rsidR="00E86A69" w:rsidRPr="00E86A69" w:rsidRDefault="00E86A69" w:rsidP="00E86A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Build (Local Developers):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Cost = 3M, Success = 80%.</w:t>
      </w:r>
    </w:p>
    <w:p w:rsidR="00E86A69" w:rsidRPr="00E86A69" w:rsidRDefault="00E86A69" w:rsidP="00E86A6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EMV = (0.8 × 10,000,000) - 3,000,000 = </w:t>
      </w: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BDT 5,000,000</w:t>
      </w:r>
    </w:p>
    <w:p w:rsidR="00E86A69" w:rsidRPr="00E86A69" w:rsidRDefault="00E86A69" w:rsidP="00E86A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Buy (Off-the-shelf):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Cost = 5M, Success = 95%.</w:t>
      </w:r>
    </w:p>
    <w:p w:rsidR="00E86A69" w:rsidRPr="00E86A69" w:rsidRDefault="00E86A69" w:rsidP="00E86A6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EMV = (0.95 × 10,000,000) - 5,000,000 = </w:t>
      </w: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BDT 4,500,000</w:t>
      </w:r>
    </w:p>
    <w:p w:rsidR="00E86A69" w:rsidRPr="00E86A69" w:rsidRDefault="00E86A69" w:rsidP="00E86A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 The university should choose to </w:t>
      </w:r>
      <w:r w:rsidRPr="00E86A69">
        <w:rPr>
          <w:rFonts w:ascii="Times New Roman" w:eastAsia="Times New Roman" w:hAnsi="Times New Roman" w:cs="Times New Roman"/>
          <w:b/>
          <w:bCs/>
          <w:sz w:val="24"/>
          <w:szCs w:val="24"/>
        </w:rPr>
        <w:t>Build</w:t>
      </w:r>
      <w:r w:rsidRPr="00E86A69">
        <w:rPr>
          <w:rFonts w:ascii="Times New Roman" w:eastAsia="Times New Roman" w:hAnsi="Times New Roman" w:cs="Times New Roman"/>
          <w:sz w:val="24"/>
          <w:szCs w:val="24"/>
        </w:rPr>
        <w:t xml:space="preserve">. Although buying off-the-shelf is safer, building in-house has a higher Expected Monetary Value (EMV). Projects with the highest potential returns are often the most risky. </w:t>
      </w:r>
    </w:p>
    <w:p w:rsidR="00901D78" w:rsidRDefault="00901D78">
      <w:bookmarkStart w:id="0" w:name="_GoBack"/>
      <w:bookmarkEnd w:id="0"/>
    </w:p>
    <w:sectPr w:rsidR="00901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C23F7"/>
    <w:multiLevelType w:val="multilevel"/>
    <w:tmpl w:val="DC0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1279F"/>
    <w:multiLevelType w:val="multilevel"/>
    <w:tmpl w:val="714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F6652"/>
    <w:multiLevelType w:val="multilevel"/>
    <w:tmpl w:val="383C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55855"/>
    <w:multiLevelType w:val="multilevel"/>
    <w:tmpl w:val="F51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05238"/>
    <w:multiLevelType w:val="multilevel"/>
    <w:tmpl w:val="F41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A391C"/>
    <w:multiLevelType w:val="multilevel"/>
    <w:tmpl w:val="54D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337F9"/>
    <w:multiLevelType w:val="multilevel"/>
    <w:tmpl w:val="057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96349"/>
    <w:multiLevelType w:val="multilevel"/>
    <w:tmpl w:val="6B9E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069CC"/>
    <w:multiLevelType w:val="multilevel"/>
    <w:tmpl w:val="243E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BD6"/>
    <w:rsid w:val="00340BD6"/>
    <w:rsid w:val="00901D78"/>
    <w:rsid w:val="00E86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39C9DB-C36F-43C4-9BA5-A97ECCB4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86A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86A6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6A6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86A6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86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6A69"/>
    <w:rPr>
      <w:b/>
      <w:bCs/>
    </w:rPr>
  </w:style>
  <w:style w:type="character" w:customStyle="1" w:styleId="math-inline">
    <w:name w:val="math-inline"/>
    <w:basedOn w:val="DefaultParagraphFont"/>
    <w:rsid w:val="00E86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7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845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2026-06-20T17:13:00Z</dcterms:created>
  <dcterms:modified xsi:type="dcterms:W3CDTF">2026-06-20T17:13:00Z</dcterms:modified>
</cp:coreProperties>
</file>