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359" w:rsidRDefault="00C86359" w:rsidP="00C86359">
      <w:pPr>
        <w:pStyle w:val="Heading2"/>
      </w:pPr>
      <w:r>
        <w:rPr>
          <w:rStyle w:val="Strong"/>
          <w:b/>
          <w:bCs/>
        </w:rPr>
        <w:t>Balancing Act: Strategic Effort Estimation for a University-Wide Student Information System (Project Polaris)</w:t>
      </w:r>
    </w:p>
    <w:p w:rsidR="0021477B" w:rsidRDefault="0021477B" w:rsidP="0021477B">
      <w:pPr>
        <w:pStyle w:val="Heading3"/>
      </w:pPr>
      <w:r>
        <w:t>1. Introduction</w:t>
      </w:r>
    </w:p>
    <w:p w:rsidR="0021477B" w:rsidRDefault="0021477B" w:rsidP="0021477B">
      <w:pPr>
        <w:pStyle w:val="NormalWeb"/>
      </w:pPr>
      <w:r>
        <w:t>Software effort estimation is a critical part of project management, helping determine the time, budget, and resources needed. Accurate estimation improves planning and risk management, while poor estimation inevitably leads to budget overruns and missed deadlines.</w:t>
      </w:r>
    </w:p>
    <w:p w:rsidR="0021477B" w:rsidRDefault="0021477B" w:rsidP="0021477B">
      <w:pPr>
        <w:pStyle w:val="NormalWeb"/>
      </w:pPr>
      <w:r>
        <w:t xml:space="preserve">Project Polaris is a massive step for </w:t>
      </w:r>
      <w:proofErr w:type="spellStart"/>
      <w:r>
        <w:t>Jahangirnagar</w:t>
      </w:r>
      <w:proofErr w:type="spellEnd"/>
      <w:r>
        <w:t xml:space="preserve"> University, aiming to replace the monolithic legacy Student Information System (SIS) with a modern web platform. We must balance the "Iron Triangle" of project management: delivering all features within a strict 15-month deadline, staying on budget, and ensuring top-notch security. This assignment applies different estimation techniques to replace guesswork with a solid, data-driven planning strategy.</w:t>
      </w:r>
    </w:p>
    <w:p w:rsidR="0021477B" w:rsidRDefault="0021477B" w:rsidP="0021477B">
      <w:pPr>
        <w:pStyle w:val="Heading3"/>
      </w:pPr>
      <w:r>
        <w:t>2. Part 1: Critical Analysis of Estimation Methods</w:t>
      </w:r>
    </w:p>
    <w:p w:rsidR="0021477B" w:rsidRDefault="0021477B" w:rsidP="0021477B">
      <w:pPr>
        <w:pStyle w:val="NormalWeb"/>
      </w:pPr>
      <w:r>
        <w:rPr>
          <w:b/>
          <w:bCs/>
        </w:rPr>
        <w:t>2.1 Bottom-Up Estimating</w:t>
      </w:r>
    </w:p>
    <w:p w:rsidR="0021477B" w:rsidRDefault="0021477B" w:rsidP="0021477B">
      <w:pPr>
        <w:pStyle w:val="NormalWeb"/>
      </w:pPr>
      <w:r>
        <w:t>This method breaks the project into tiny, manageable tasks using a Work Breakdown Structure (WBS) and adds them up for a total estimate. For Polaris, it is useful given the three distinct modules. However, building a comprehensive WBS for a project this massive is incredibly time-consuming and complicated by changing requirements. Therefore, Bottom-Up estimation is best reserved exclusively for high-risk components—like the legacy data migration, security protocols, and testing.</w:t>
      </w:r>
    </w:p>
    <w:p w:rsidR="0021477B" w:rsidRDefault="0021477B" w:rsidP="0021477B">
      <w:pPr>
        <w:pStyle w:val="NormalWeb"/>
      </w:pPr>
      <w:r>
        <w:rPr>
          <w:b/>
          <w:bCs/>
        </w:rPr>
        <w:t>2.2 Top-Down (Parametric) Estimating</w:t>
      </w:r>
    </w:p>
    <w:p w:rsidR="0021477B" w:rsidRDefault="0021477B" w:rsidP="0021477B">
      <w:pPr>
        <w:pStyle w:val="NormalWeb"/>
      </w:pPr>
      <w:r>
        <w:t>This method relies on mathematical models, like COCOMO, to calculate effort based on lines of code (KLOC) and productivity factors. While applicable to the Administrative Backend, COCOMO struggles to measure the cognitive work required for complex business logic, workflow rules, and strict security features. It provides a good initial baseline but must be combined with other methods for true accuracy.</w:t>
      </w:r>
    </w:p>
    <w:p w:rsidR="0021477B" w:rsidRDefault="0021477B" w:rsidP="0021477B">
      <w:pPr>
        <w:pStyle w:val="NormalWeb"/>
      </w:pPr>
      <w:r>
        <w:rPr>
          <w:b/>
          <w:bCs/>
        </w:rPr>
        <w:t>2.3 Analogy-Based Estimating</w:t>
      </w:r>
    </w:p>
    <w:p w:rsidR="0021477B" w:rsidRDefault="0021477B" w:rsidP="0021477B">
      <w:pPr>
        <w:pStyle w:val="NormalWeb"/>
      </w:pPr>
      <w:r>
        <w:t xml:space="preserve">This predicts effort by comparing the current work to similar past projects (using tools like ANGEL). The problem is </w:t>
      </w:r>
      <w:proofErr w:type="spellStart"/>
      <w:r>
        <w:t>Jahangirnagar</w:t>
      </w:r>
      <w:proofErr w:type="spellEnd"/>
      <w:r>
        <w:t xml:space="preserve"> University lacks a precedent for a project of this scale, security requirement (Privacy Act of Bangladesh), and 20-year legacy data migration. Relying purely on analogy (like comparing it to an old library system) would yield inaccurate estimates. It should only be used for smaller, generic modules.</w:t>
      </w:r>
    </w:p>
    <w:p w:rsidR="0021477B" w:rsidRDefault="0021477B" w:rsidP="0021477B">
      <w:pPr>
        <w:pStyle w:val="NormalWeb"/>
      </w:pPr>
      <w:r>
        <w:rPr>
          <w:b/>
          <w:bCs/>
        </w:rPr>
        <w:t>2.4 Parkinson's Law &amp; Price-to-Win</w:t>
      </w:r>
    </w:p>
    <w:p w:rsidR="0021477B" w:rsidRDefault="0021477B" w:rsidP="0021477B">
      <w:pPr>
        <w:pStyle w:val="NormalWeb"/>
      </w:pPr>
      <w:r>
        <w:lastRenderedPageBreak/>
        <w:t>"Price-to-Win" forces estimates to fit a desired client budget or deadline, which is a strategic failure that leads to rushed work and scope creep. Conversely, "Parkinson's Law" suggests work expands to fill the available time. To prevent the team from losing their sense of urgency over the 15-month timeline, we need realistic estimates and aggressive intermediate milestones, not fake numbers.</w:t>
      </w:r>
    </w:p>
    <w:p w:rsidR="0021477B" w:rsidRDefault="0021477B" w:rsidP="0021477B">
      <w:pPr>
        <w:pStyle w:val="Heading3"/>
      </w:pPr>
      <w:r>
        <w:t>3. Part 2: Applying Parametric and Functional Size Models</w:t>
      </w:r>
    </w:p>
    <w:p w:rsidR="0021477B" w:rsidRDefault="0021477B" w:rsidP="0021477B">
      <w:pPr>
        <w:pStyle w:val="NormalWeb"/>
      </w:pPr>
      <w:r>
        <w:rPr>
          <w:b/>
          <w:bCs/>
        </w:rPr>
        <w:t>3.1 COCOMO Application for the Administrative Backend</w:t>
      </w:r>
    </w:p>
    <w:p w:rsidR="0021477B" w:rsidRDefault="0021477B" w:rsidP="0021477B">
      <w:pPr>
        <w:pStyle w:val="NormalWeb"/>
      </w:pPr>
      <w:r>
        <w:t>The Administrative Backend is estimated at 85 KSLOC. As a mix of new code and old system integration, we treat it as a "semi-detached" system (</w:t>
      </w:r>
      <w:r>
        <w:rPr>
          <w:rStyle w:val="math-inline"/>
        </w:rPr>
        <w:t>$C = 3.0$</w:t>
      </w:r>
      <w:r>
        <w:t xml:space="preserve"> and </w:t>
      </w:r>
      <w:r>
        <w:rPr>
          <w:rStyle w:val="math-inline"/>
        </w:rPr>
        <w:t>$k = 1.12$</w:t>
      </w:r>
      <w:r>
        <w:t>).</w:t>
      </w:r>
    </w:p>
    <w:p w:rsidR="0021477B" w:rsidRDefault="0021477B" w:rsidP="0021477B">
      <w:pPr>
        <w:pStyle w:val="NormalWeb"/>
        <w:numPr>
          <w:ilvl w:val="0"/>
          <w:numId w:val="18"/>
        </w:numPr>
      </w:pPr>
      <w:r>
        <w:rPr>
          <w:b/>
          <w:bCs/>
        </w:rPr>
        <w:t>Step 1: Calculating the Nominal Effort</w:t>
      </w:r>
    </w:p>
    <w:p w:rsidR="0021477B" w:rsidRDefault="0021477B" w:rsidP="0021477B">
      <w:pPr>
        <w:pStyle w:val="NormalWeb"/>
        <w:numPr>
          <w:ilvl w:val="1"/>
          <w:numId w:val="18"/>
        </w:numPr>
      </w:pPr>
      <w:r>
        <w:rPr>
          <w:rStyle w:val="math-inline"/>
        </w:rPr>
        <w:t>$Effort = C \times Size^{k}$</w:t>
      </w:r>
    </w:p>
    <w:p w:rsidR="0021477B" w:rsidRDefault="0021477B" w:rsidP="0021477B">
      <w:pPr>
        <w:pStyle w:val="NormalWeb"/>
        <w:numPr>
          <w:ilvl w:val="1"/>
          <w:numId w:val="18"/>
        </w:numPr>
      </w:pPr>
      <w:r>
        <w:rPr>
          <w:rStyle w:val="math-inline"/>
        </w:rPr>
        <w:t>$Effort = 3.0 \times (</w:t>
      </w:r>
      <w:proofErr w:type="gramStart"/>
      <w:r>
        <w:rPr>
          <w:rStyle w:val="math-inline"/>
        </w:rPr>
        <w:t>85)^</w:t>
      </w:r>
      <w:proofErr w:type="gramEnd"/>
      <w:r>
        <w:rPr>
          <w:rStyle w:val="math-inline"/>
        </w:rPr>
        <w:t>{1.12}$</w:t>
      </w:r>
    </w:p>
    <w:p w:rsidR="0021477B" w:rsidRDefault="0021477B" w:rsidP="0021477B">
      <w:pPr>
        <w:pStyle w:val="NormalWeb"/>
        <w:numPr>
          <w:ilvl w:val="1"/>
          <w:numId w:val="18"/>
        </w:numPr>
      </w:pPr>
      <w:r>
        <w:rPr>
          <w:b/>
          <w:bCs/>
        </w:rPr>
        <w:t xml:space="preserve">Nominal Effort </w:t>
      </w:r>
      <w:r>
        <w:rPr>
          <w:rStyle w:val="math-inline"/>
          <w:b/>
          <w:bCs/>
        </w:rPr>
        <w:t>$\</w:t>
      </w:r>
      <w:proofErr w:type="spellStart"/>
      <w:r>
        <w:rPr>
          <w:rStyle w:val="math-inline"/>
          <w:b/>
          <w:bCs/>
        </w:rPr>
        <w:t>approx</w:t>
      </w:r>
      <w:proofErr w:type="spellEnd"/>
      <w:r>
        <w:rPr>
          <w:rStyle w:val="math-inline"/>
          <w:b/>
          <w:bCs/>
        </w:rPr>
        <w:t>$</w:t>
      </w:r>
      <w:r>
        <w:rPr>
          <w:b/>
          <w:bCs/>
        </w:rPr>
        <w:t xml:space="preserve"> 418.66 staff-months</w:t>
      </w:r>
    </w:p>
    <w:p w:rsidR="0021477B" w:rsidRDefault="0021477B" w:rsidP="0021477B">
      <w:pPr>
        <w:pStyle w:val="NormalWeb"/>
        <w:numPr>
          <w:ilvl w:val="0"/>
          <w:numId w:val="18"/>
        </w:numPr>
      </w:pPr>
      <w:r>
        <w:rPr>
          <w:b/>
          <w:bCs/>
        </w:rPr>
        <w:t>Step 2: Calculating the Adjusted Effort</w:t>
      </w:r>
    </w:p>
    <w:p w:rsidR="0021477B" w:rsidRDefault="0021477B" w:rsidP="0021477B">
      <w:pPr>
        <w:pStyle w:val="NormalWeb"/>
        <w:ind w:left="720"/>
      </w:pPr>
      <w:r>
        <w:t>We adjust this base number using three cost drivers: low language experience (1.14), very high complexity (1.34), and high reliability (1.15).</w:t>
      </w:r>
    </w:p>
    <w:p w:rsidR="0021477B" w:rsidRDefault="0021477B" w:rsidP="0021477B">
      <w:pPr>
        <w:pStyle w:val="NormalWeb"/>
        <w:numPr>
          <w:ilvl w:val="1"/>
          <w:numId w:val="18"/>
        </w:numPr>
      </w:pPr>
      <w:r>
        <w:rPr>
          <w:rStyle w:val="math-inline"/>
        </w:rPr>
        <w:t xml:space="preserve">$Adjusted Effort = 418.66 \times (1.14 \times 1.34 \times </w:t>
      </w:r>
      <w:proofErr w:type="gramStart"/>
      <w:r>
        <w:rPr>
          <w:rStyle w:val="math-inline"/>
        </w:rPr>
        <w:t>1.15)$</w:t>
      </w:r>
      <w:proofErr w:type="gramEnd"/>
    </w:p>
    <w:p w:rsidR="0021477B" w:rsidRDefault="0021477B" w:rsidP="0021477B">
      <w:pPr>
        <w:pStyle w:val="NormalWeb"/>
        <w:numPr>
          <w:ilvl w:val="1"/>
          <w:numId w:val="18"/>
        </w:numPr>
      </w:pPr>
      <w:r>
        <w:rPr>
          <w:rStyle w:val="math-inline"/>
        </w:rPr>
        <w:t>$Adjusted Effort = 418.66 \times 1.756$</w:t>
      </w:r>
    </w:p>
    <w:p w:rsidR="0021477B" w:rsidRDefault="0021477B" w:rsidP="0021477B">
      <w:pPr>
        <w:pStyle w:val="NormalWeb"/>
        <w:numPr>
          <w:ilvl w:val="1"/>
          <w:numId w:val="18"/>
        </w:numPr>
      </w:pPr>
      <w:r>
        <w:rPr>
          <w:b/>
          <w:bCs/>
        </w:rPr>
        <w:t xml:space="preserve">Adjusted Effort </w:t>
      </w:r>
      <w:r>
        <w:rPr>
          <w:rStyle w:val="math-inline"/>
          <w:b/>
          <w:bCs/>
        </w:rPr>
        <w:t>$\</w:t>
      </w:r>
      <w:proofErr w:type="spellStart"/>
      <w:r>
        <w:rPr>
          <w:rStyle w:val="math-inline"/>
          <w:b/>
          <w:bCs/>
        </w:rPr>
        <w:t>approx</w:t>
      </w:r>
      <w:proofErr w:type="spellEnd"/>
      <w:r>
        <w:rPr>
          <w:rStyle w:val="math-inline"/>
          <w:b/>
          <w:bCs/>
        </w:rPr>
        <w:t>$</w:t>
      </w:r>
      <w:r>
        <w:rPr>
          <w:b/>
          <w:bCs/>
        </w:rPr>
        <w:t xml:space="preserve"> 735.34 staff-months</w:t>
      </w:r>
    </w:p>
    <w:p w:rsidR="0021477B" w:rsidRDefault="0021477B" w:rsidP="0021477B">
      <w:pPr>
        <w:pStyle w:val="NormalWeb"/>
        <w:numPr>
          <w:ilvl w:val="0"/>
          <w:numId w:val="18"/>
        </w:numPr>
      </w:pPr>
      <w:r>
        <w:rPr>
          <w:b/>
          <w:bCs/>
        </w:rPr>
        <w:t>Step 3: Interpretation</w:t>
      </w:r>
    </w:p>
    <w:p w:rsidR="0021477B" w:rsidRDefault="0021477B" w:rsidP="0021477B">
      <w:pPr>
        <w:pStyle w:val="NormalWeb"/>
        <w:ind w:left="720"/>
      </w:pPr>
      <w:r>
        <w:t>This adjustment adds over 300 staff-months to the original estimate! This clearly shows that the real hurdles for the backend aren't just code volume, but the team's lack of experience combined with extreme logical complexity. COCOMO alone is too rigid to capture human elements like coordinating with faculty or engineering strict degree audit workflows.</w:t>
      </w:r>
    </w:p>
    <w:p w:rsidR="0021477B" w:rsidRDefault="0021477B" w:rsidP="0021477B">
      <w:pPr>
        <w:pStyle w:val="NormalWeb"/>
      </w:pPr>
      <w:r>
        <w:rPr>
          <w:b/>
          <w:bCs/>
        </w:rPr>
        <w:t>3.2 Function Point Analysis for the Student Portal</w:t>
      </w:r>
    </w:p>
    <w:p w:rsidR="0021477B" w:rsidRDefault="0021477B" w:rsidP="0021477B">
      <w:pPr>
        <w:pStyle w:val="NormalWeb"/>
      </w:pPr>
      <w:r>
        <w:t>Function Point Analysis (FPA) measures system size based on logical functional requirements. We'll use the Mark II FPA method, focusing on inputs (</w:t>
      </w:r>
      <w:r>
        <w:rPr>
          <w:rStyle w:val="math-inline"/>
        </w:rPr>
        <w:t>$</w:t>
      </w:r>
      <w:proofErr w:type="spellStart"/>
      <w:r>
        <w:rPr>
          <w:rStyle w:val="math-inline"/>
        </w:rPr>
        <w:t>N_i</w:t>
      </w:r>
      <w:proofErr w:type="spellEnd"/>
      <w:r>
        <w:rPr>
          <w:rStyle w:val="math-inline"/>
        </w:rPr>
        <w:t>$</w:t>
      </w:r>
      <w:r>
        <w:t>), entity types accessed (</w:t>
      </w:r>
      <w:r>
        <w:rPr>
          <w:rStyle w:val="math-inline"/>
        </w:rPr>
        <w:t>$</w:t>
      </w:r>
      <w:proofErr w:type="spellStart"/>
      <w:r>
        <w:rPr>
          <w:rStyle w:val="math-inline"/>
        </w:rPr>
        <w:t>N_e</w:t>
      </w:r>
      <w:proofErr w:type="spellEnd"/>
      <w:r>
        <w:rPr>
          <w:rStyle w:val="math-inline"/>
        </w:rPr>
        <w:t>$</w:t>
      </w:r>
      <w:r>
        <w:t>), and outputs (</w:t>
      </w:r>
      <w:r>
        <w:rPr>
          <w:rStyle w:val="math-inline"/>
        </w:rPr>
        <w:t>$</w:t>
      </w:r>
      <w:proofErr w:type="spellStart"/>
      <w:r>
        <w:rPr>
          <w:rStyle w:val="math-inline"/>
        </w:rPr>
        <w:t>N_o</w:t>
      </w:r>
      <w:proofErr w:type="spellEnd"/>
      <w:r>
        <w:rPr>
          <w:rStyle w:val="math-inline"/>
        </w:rPr>
        <w:t>$</w:t>
      </w:r>
      <w:r>
        <w:t>).</w:t>
      </w:r>
    </w:p>
    <w:p w:rsidR="0021477B" w:rsidRDefault="0021477B" w:rsidP="0021477B">
      <w:pPr>
        <w:pStyle w:val="NormalWeb"/>
        <w:numPr>
          <w:ilvl w:val="0"/>
          <w:numId w:val="19"/>
        </w:numPr>
      </w:pPr>
      <w:r>
        <w:rPr>
          <w:b/>
          <w:bCs/>
        </w:rPr>
        <w:t>Step 1: Mark II FP Calculation ("Register for a Course")</w:t>
      </w:r>
    </w:p>
    <w:p w:rsidR="0021477B" w:rsidRDefault="0021477B" w:rsidP="0021477B">
      <w:pPr>
        <w:pStyle w:val="NormalWeb"/>
        <w:numPr>
          <w:ilvl w:val="1"/>
          <w:numId w:val="19"/>
        </w:numPr>
      </w:pPr>
      <w:r>
        <w:t>Inputs (</w:t>
      </w:r>
      <w:r>
        <w:rPr>
          <w:rStyle w:val="math-inline"/>
        </w:rPr>
        <w:t>$</w:t>
      </w:r>
      <w:proofErr w:type="spellStart"/>
      <w:r>
        <w:rPr>
          <w:rStyle w:val="math-inline"/>
        </w:rPr>
        <w:t>N_i</w:t>
      </w:r>
      <w:proofErr w:type="spellEnd"/>
      <w:r>
        <w:rPr>
          <w:rStyle w:val="math-inline"/>
        </w:rPr>
        <w:t>$</w:t>
      </w:r>
      <w:r>
        <w:t>) = 8, Entities (</w:t>
      </w:r>
      <w:r>
        <w:rPr>
          <w:rStyle w:val="math-inline"/>
        </w:rPr>
        <w:t>$</w:t>
      </w:r>
      <w:proofErr w:type="spellStart"/>
      <w:r>
        <w:rPr>
          <w:rStyle w:val="math-inline"/>
        </w:rPr>
        <w:t>N_e</w:t>
      </w:r>
      <w:proofErr w:type="spellEnd"/>
      <w:r>
        <w:rPr>
          <w:rStyle w:val="math-inline"/>
        </w:rPr>
        <w:t>$</w:t>
      </w:r>
      <w:r>
        <w:t>) = 7, Outputs (</w:t>
      </w:r>
      <w:r>
        <w:rPr>
          <w:rStyle w:val="math-inline"/>
        </w:rPr>
        <w:t>$</w:t>
      </w:r>
      <w:proofErr w:type="spellStart"/>
      <w:r>
        <w:rPr>
          <w:rStyle w:val="math-inline"/>
        </w:rPr>
        <w:t>N_o</w:t>
      </w:r>
      <w:proofErr w:type="spellEnd"/>
      <w:r>
        <w:rPr>
          <w:rStyle w:val="math-inline"/>
        </w:rPr>
        <w:t>$</w:t>
      </w:r>
      <w:r>
        <w:t>) = 4.</w:t>
      </w:r>
    </w:p>
    <w:p w:rsidR="0021477B" w:rsidRDefault="0021477B" w:rsidP="0021477B">
      <w:pPr>
        <w:pStyle w:val="NormalWeb"/>
        <w:numPr>
          <w:ilvl w:val="1"/>
          <w:numId w:val="19"/>
        </w:numPr>
      </w:pPr>
      <w:r>
        <w:rPr>
          <w:rStyle w:val="math-inline"/>
        </w:rPr>
        <w:t xml:space="preserve">$FP = (8 \times 0.58) + (7 \times 1.66) + (4 \times </w:t>
      </w:r>
      <w:proofErr w:type="gramStart"/>
      <w:r>
        <w:rPr>
          <w:rStyle w:val="math-inline"/>
        </w:rPr>
        <w:t>0.26)$</w:t>
      </w:r>
      <w:proofErr w:type="gramEnd"/>
    </w:p>
    <w:p w:rsidR="0021477B" w:rsidRDefault="0021477B" w:rsidP="0021477B">
      <w:pPr>
        <w:pStyle w:val="NormalWeb"/>
        <w:numPr>
          <w:ilvl w:val="1"/>
          <w:numId w:val="19"/>
        </w:numPr>
      </w:pPr>
      <w:r>
        <w:rPr>
          <w:rStyle w:val="math-inline"/>
        </w:rPr>
        <w:t>$FP = 4.64 + 11.62 + 1.04$</w:t>
      </w:r>
    </w:p>
    <w:p w:rsidR="0021477B" w:rsidRDefault="0021477B" w:rsidP="0021477B">
      <w:pPr>
        <w:pStyle w:val="NormalWeb"/>
        <w:numPr>
          <w:ilvl w:val="1"/>
          <w:numId w:val="19"/>
        </w:numPr>
      </w:pPr>
      <w:r>
        <w:rPr>
          <w:b/>
          <w:bCs/>
        </w:rPr>
        <w:t>Total Size = 17.3 Mark II FPs</w:t>
      </w:r>
    </w:p>
    <w:p w:rsidR="0021477B" w:rsidRDefault="0021477B" w:rsidP="0021477B">
      <w:pPr>
        <w:pStyle w:val="NormalWeb"/>
        <w:numPr>
          <w:ilvl w:val="0"/>
          <w:numId w:val="19"/>
        </w:numPr>
      </w:pPr>
      <w:r>
        <w:rPr>
          <w:b/>
          <w:bCs/>
        </w:rPr>
        <w:t>Step 2: Mark II vs. COSMIC</w:t>
      </w:r>
    </w:p>
    <w:p w:rsidR="0021477B" w:rsidRDefault="0021477B" w:rsidP="0021477B">
      <w:pPr>
        <w:pStyle w:val="NormalWeb"/>
        <w:ind w:left="720"/>
      </w:pPr>
      <w:r>
        <w:lastRenderedPageBreak/>
        <w:t xml:space="preserve">Mark II is great for standard user-facing interfaces like the Student Portal. However, the Data Integration &amp; Reporting Layer requires the </w:t>
      </w:r>
      <w:r>
        <w:rPr>
          <w:b/>
          <w:bCs/>
        </w:rPr>
        <w:t>COSMIC FP</w:t>
      </w:r>
      <w:r>
        <w:t xml:space="preserve"> approach. COSMIC measures data movements (Entries, Exits, Reads, Writes), making it much more accurate for massive backend engines handling heavy database queries and persistent storage operations.</w:t>
      </w:r>
    </w:p>
    <w:p w:rsidR="0021477B" w:rsidRDefault="0021477B" w:rsidP="0021477B">
      <w:pPr>
        <w:pStyle w:val="Heading3"/>
      </w:pPr>
      <w:r>
        <w:t>4. Part 3: Synthesis and Recommendation</w:t>
      </w:r>
    </w:p>
    <w:p w:rsidR="0021477B" w:rsidRDefault="0021477B" w:rsidP="0021477B">
      <w:pPr>
        <w:pStyle w:val="NormalWeb"/>
      </w:pPr>
      <w:r>
        <w:rPr>
          <w:b/>
          <w:bCs/>
        </w:rPr>
        <w:t>4.1 Recommended Hybrid Estimation Strategy</w:t>
      </w:r>
    </w:p>
    <w:p w:rsidR="0021477B" w:rsidRDefault="0021477B" w:rsidP="0021477B">
      <w:pPr>
        <w:pStyle w:val="NormalWeb"/>
      </w:pPr>
      <w:r>
        <w:t>Relying on just one estimation model for a multi-faceted project invites systemic risk. I propose a hybrid approach:</w:t>
      </w:r>
    </w:p>
    <w:p w:rsidR="0021477B" w:rsidRDefault="0021477B" w:rsidP="0021477B">
      <w:pPr>
        <w:pStyle w:val="NormalWeb"/>
        <w:numPr>
          <w:ilvl w:val="0"/>
          <w:numId w:val="20"/>
        </w:numPr>
      </w:pPr>
      <w:r>
        <w:rPr>
          <w:b/>
          <w:bCs/>
        </w:rPr>
        <w:t>Top-Down (Parametric):</w:t>
      </w:r>
      <w:r>
        <w:t xml:space="preserve"> Use this to establish a macro-level budget and timeline for university board approval.</w:t>
      </w:r>
    </w:p>
    <w:p w:rsidR="0021477B" w:rsidRDefault="0021477B" w:rsidP="0021477B">
      <w:pPr>
        <w:pStyle w:val="NormalWeb"/>
        <w:numPr>
          <w:ilvl w:val="0"/>
          <w:numId w:val="20"/>
        </w:numPr>
      </w:pPr>
      <w:r>
        <w:rPr>
          <w:b/>
          <w:bCs/>
        </w:rPr>
        <w:t>Bottom-Up:</w:t>
      </w:r>
      <w:r>
        <w:t xml:space="preserve"> Strictly use this for the Legacy Data Migration and SSO authentication components. Every database mapping and sanitization script must be estimated individually to ensure data integrity.</w:t>
      </w:r>
    </w:p>
    <w:p w:rsidR="0021477B" w:rsidRDefault="0021477B" w:rsidP="0021477B">
      <w:pPr>
        <w:pStyle w:val="NormalWeb"/>
        <w:numPr>
          <w:ilvl w:val="0"/>
          <w:numId w:val="20"/>
        </w:numPr>
      </w:pPr>
      <w:r>
        <w:rPr>
          <w:b/>
          <w:bCs/>
        </w:rPr>
        <w:t>Analogy-Based:</w:t>
      </w:r>
      <w:r>
        <w:t xml:space="preserve"> Use past data from the university's HR portal upgrade solely to estimate standard UI/UX work in the Student Portal.</w:t>
      </w:r>
    </w:p>
    <w:p w:rsidR="0021477B" w:rsidRDefault="0021477B" w:rsidP="0021477B">
      <w:pPr>
        <w:pStyle w:val="NormalWeb"/>
      </w:pPr>
      <w:r>
        <w:rPr>
          <w:b/>
          <w:bCs/>
        </w:rPr>
        <w:t>4.2 Addressing the Project Risks</w:t>
      </w:r>
    </w:p>
    <w:p w:rsidR="0021477B" w:rsidRDefault="0021477B" w:rsidP="0021477B">
      <w:pPr>
        <w:pStyle w:val="NormalWeb"/>
        <w:numPr>
          <w:ilvl w:val="0"/>
          <w:numId w:val="21"/>
        </w:numPr>
      </w:pPr>
      <w:r>
        <w:rPr>
          <w:b/>
          <w:bCs/>
        </w:rPr>
        <w:t>The 15-Month Deadline:</w:t>
      </w:r>
      <w:r>
        <w:t xml:space="preserve"> Bottom-up estimates for critical tasks enable tight, two-week sprints, preventing Parkinson's Law.</w:t>
      </w:r>
    </w:p>
    <w:p w:rsidR="0021477B" w:rsidRDefault="0021477B" w:rsidP="0021477B">
      <w:pPr>
        <w:pStyle w:val="NormalWeb"/>
        <w:numPr>
          <w:ilvl w:val="0"/>
          <w:numId w:val="21"/>
        </w:numPr>
      </w:pPr>
      <w:r>
        <w:rPr>
          <w:b/>
          <w:bCs/>
        </w:rPr>
        <w:t>Legacy Data Migration:</w:t>
      </w:r>
      <w:r>
        <w:t xml:space="preserve"> Isolating this task with a bottom-up approach allocates explicit, dedicated time just for data cleansing.</w:t>
      </w:r>
    </w:p>
    <w:p w:rsidR="0021477B" w:rsidRDefault="0021477B" w:rsidP="0021477B">
      <w:pPr>
        <w:pStyle w:val="NormalWeb"/>
        <w:numPr>
          <w:ilvl w:val="0"/>
          <w:numId w:val="21"/>
        </w:numPr>
      </w:pPr>
      <w:r>
        <w:rPr>
          <w:b/>
          <w:bCs/>
        </w:rPr>
        <w:t>No Historical Data:</w:t>
      </w:r>
      <w:r>
        <w:t xml:space="preserve"> Relying mostly on parametric and functional models saves us from making bad comparisons to irrelevant past projects.</w:t>
      </w:r>
    </w:p>
    <w:p w:rsidR="0021477B" w:rsidRDefault="0021477B" w:rsidP="0021477B">
      <w:pPr>
        <w:pStyle w:val="NormalWeb"/>
        <w:numPr>
          <w:ilvl w:val="0"/>
          <w:numId w:val="21"/>
        </w:numPr>
      </w:pPr>
      <w:r>
        <w:rPr>
          <w:b/>
          <w:bCs/>
        </w:rPr>
        <w:t>Privacy Compliance:</w:t>
      </w:r>
      <w:r>
        <w:t xml:space="preserve"> Factoring in the "high reliability" COCOMO multiplier ensures our schedule has built-in time for the security testing required by the Privacy Act of Bangladesh.</w:t>
      </w:r>
    </w:p>
    <w:p w:rsidR="0021477B" w:rsidRDefault="0021477B" w:rsidP="0021477B">
      <w:pPr>
        <w:pStyle w:val="NormalWeb"/>
      </w:pPr>
      <w:r>
        <w:rPr>
          <w:b/>
          <w:bCs/>
        </w:rPr>
        <w:t>4.3 Critiquing a Hypothetical 150 Staff-Month Estimate</w:t>
      </w:r>
    </w:p>
    <w:p w:rsidR="0021477B" w:rsidRDefault="0021477B" w:rsidP="0021477B">
      <w:pPr>
        <w:pStyle w:val="NormalWeb"/>
      </w:pPr>
      <w:r>
        <w:t>If the dev team handed me a draft estimate of 150 staff-months, I’d heavily scrutinize it using the Chapter 5 guidelines:</w:t>
      </w:r>
    </w:p>
    <w:p w:rsidR="0021477B" w:rsidRDefault="0021477B" w:rsidP="0021477B">
      <w:pPr>
        <w:pStyle w:val="NormalWeb"/>
        <w:numPr>
          <w:ilvl w:val="0"/>
          <w:numId w:val="22"/>
        </w:numPr>
      </w:pPr>
      <w:r>
        <w:rPr>
          <w:b/>
          <w:bCs/>
        </w:rPr>
        <w:t>What are the task size drivers?</w:t>
      </w:r>
      <w:r>
        <w:t xml:space="preserve"> Are these 150 months based on actual calculations (like our 17.3 FPs) or arbitrary guesses? If it’s not backed by quantified drivers, it’s invalid.</w:t>
      </w:r>
    </w:p>
    <w:p w:rsidR="0021477B" w:rsidRDefault="0021477B" w:rsidP="0021477B">
      <w:pPr>
        <w:pStyle w:val="NormalWeb"/>
        <w:numPr>
          <w:ilvl w:val="0"/>
          <w:numId w:val="22"/>
        </w:numPr>
      </w:pPr>
      <w:r>
        <w:rPr>
          <w:b/>
          <w:bCs/>
        </w:rPr>
        <w:t>What productivity rates were used?</w:t>
      </w:r>
      <w:r>
        <w:t xml:space="preserve"> Did the estimator ignore our junior developers' "low" experience multiplier (1.14)? Assuming universal "high" productivity will inevitably cause delays.</w:t>
      </w:r>
    </w:p>
    <w:p w:rsidR="0021477B" w:rsidRDefault="0021477B" w:rsidP="0021477B">
      <w:pPr>
        <w:pStyle w:val="NormalWeb"/>
        <w:numPr>
          <w:ilvl w:val="0"/>
          <w:numId w:val="22"/>
        </w:numPr>
      </w:pPr>
      <w:r>
        <w:rPr>
          <w:b/>
          <w:bCs/>
        </w:rPr>
        <w:t>Is there a similar previous project?</w:t>
      </w:r>
      <w:r>
        <w:t xml:space="preserve"> Comparing this to an old, smaller library system catastrophically underestimates the integration complexity of Polaris.</w:t>
      </w:r>
    </w:p>
    <w:p w:rsidR="0021477B" w:rsidRDefault="0021477B" w:rsidP="0021477B">
      <w:pPr>
        <w:pStyle w:val="NormalWeb"/>
        <w:numPr>
          <w:ilvl w:val="0"/>
          <w:numId w:val="22"/>
        </w:numPr>
      </w:pPr>
      <w:r>
        <w:rPr>
          <w:b/>
          <w:bCs/>
        </w:rPr>
        <w:lastRenderedPageBreak/>
        <w:t>Have these productivity rates been proven?</w:t>
      </w:r>
      <w:r>
        <w:t xml:space="preserve"> Can they show me empirical proof of a mixed-experience team delivering a secure, PII-compliant system in this timeframe? Without industry benchmarks, 150 staff-months is dangerously optimistic.</w:t>
      </w:r>
    </w:p>
    <w:p w:rsidR="0021477B" w:rsidRDefault="0021477B" w:rsidP="0021477B">
      <w:pPr>
        <w:pStyle w:val="Heading3"/>
      </w:pPr>
      <w:r>
        <w:t>References</w:t>
      </w:r>
    </w:p>
    <w:p w:rsidR="0021477B" w:rsidRDefault="0021477B" w:rsidP="0021477B">
      <w:pPr>
        <w:pStyle w:val="NormalWeb"/>
        <w:numPr>
          <w:ilvl w:val="0"/>
          <w:numId w:val="23"/>
        </w:numPr>
      </w:pPr>
      <w:r>
        <w:t>PMSCS CSE660 Class Assignment: Software Effort Estimation Topic: Software Effort Estimation (Chapter 5).</w:t>
      </w:r>
    </w:p>
    <w:p w:rsidR="000B27E3" w:rsidRDefault="0021477B" w:rsidP="000B27E3">
      <w:pPr>
        <w:pStyle w:val="NormalWeb"/>
        <w:numPr>
          <w:ilvl w:val="0"/>
          <w:numId w:val="23"/>
        </w:numPr>
      </w:pPr>
      <w:r>
        <w:t xml:space="preserve">Hughes, B., &amp; </w:t>
      </w:r>
      <w:proofErr w:type="spellStart"/>
      <w:r>
        <w:t>Cotterell</w:t>
      </w:r>
      <w:proofErr w:type="spellEnd"/>
      <w:r>
        <w:t xml:space="preserve">, M. </w:t>
      </w:r>
      <w:r>
        <w:rPr>
          <w:i/>
          <w:iCs/>
        </w:rPr>
        <w:t>Software Project Management (4th Edition)</w:t>
      </w:r>
      <w:r>
        <w:t>, Chapter 5.</w:t>
      </w:r>
      <w:bookmarkStart w:id="0" w:name="_GoBack"/>
      <w:bookmarkEnd w:id="0"/>
    </w:p>
    <w:sectPr w:rsidR="000B2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14AA1"/>
    <w:multiLevelType w:val="multilevel"/>
    <w:tmpl w:val="7904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3925"/>
    <w:multiLevelType w:val="multilevel"/>
    <w:tmpl w:val="1D7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903D1"/>
    <w:multiLevelType w:val="multilevel"/>
    <w:tmpl w:val="409A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410EF"/>
    <w:multiLevelType w:val="multilevel"/>
    <w:tmpl w:val="A48C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EB2CC6"/>
    <w:multiLevelType w:val="multilevel"/>
    <w:tmpl w:val="C5304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65286"/>
    <w:multiLevelType w:val="multilevel"/>
    <w:tmpl w:val="3C90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61CFE"/>
    <w:multiLevelType w:val="multilevel"/>
    <w:tmpl w:val="ECF03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5115A"/>
    <w:multiLevelType w:val="multilevel"/>
    <w:tmpl w:val="B94E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D690D"/>
    <w:multiLevelType w:val="multilevel"/>
    <w:tmpl w:val="EE7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5478E"/>
    <w:multiLevelType w:val="multilevel"/>
    <w:tmpl w:val="9DD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D3802"/>
    <w:multiLevelType w:val="multilevel"/>
    <w:tmpl w:val="D10E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92947"/>
    <w:multiLevelType w:val="multilevel"/>
    <w:tmpl w:val="A81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12572"/>
    <w:multiLevelType w:val="multilevel"/>
    <w:tmpl w:val="6A1C5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2766B"/>
    <w:multiLevelType w:val="multilevel"/>
    <w:tmpl w:val="761C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F0B21"/>
    <w:multiLevelType w:val="multilevel"/>
    <w:tmpl w:val="28E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0407E"/>
    <w:multiLevelType w:val="multilevel"/>
    <w:tmpl w:val="D40C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AA573D"/>
    <w:multiLevelType w:val="multilevel"/>
    <w:tmpl w:val="21DA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442B3"/>
    <w:multiLevelType w:val="multilevel"/>
    <w:tmpl w:val="20F2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F2544"/>
    <w:multiLevelType w:val="multilevel"/>
    <w:tmpl w:val="D3F4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7276A7"/>
    <w:multiLevelType w:val="multilevel"/>
    <w:tmpl w:val="4C2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C49FC"/>
    <w:multiLevelType w:val="multilevel"/>
    <w:tmpl w:val="368C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5B6D84"/>
    <w:multiLevelType w:val="multilevel"/>
    <w:tmpl w:val="3C2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B2249"/>
    <w:multiLevelType w:val="multilevel"/>
    <w:tmpl w:val="028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2"/>
  </w:num>
  <w:num w:numId="3">
    <w:abstractNumId w:val="20"/>
  </w:num>
  <w:num w:numId="4">
    <w:abstractNumId w:val="17"/>
  </w:num>
  <w:num w:numId="5">
    <w:abstractNumId w:val="6"/>
  </w:num>
  <w:num w:numId="6">
    <w:abstractNumId w:val="7"/>
  </w:num>
  <w:num w:numId="7">
    <w:abstractNumId w:val="12"/>
  </w:num>
  <w:num w:numId="8">
    <w:abstractNumId w:val="11"/>
  </w:num>
  <w:num w:numId="9">
    <w:abstractNumId w:val="21"/>
  </w:num>
  <w:num w:numId="10">
    <w:abstractNumId w:val="0"/>
  </w:num>
  <w:num w:numId="11">
    <w:abstractNumId w:val="19"/>
  </w:num>
  <w:num w:numId="12">
    <w:abstractNumId w:val="10"/>
  </w:num>
  <w:num w:numId="13">
    <w:abstractNumId w:val="14"/>
  </w:num>
  <w:num w:numId="14">
    <w:abstractNumId w:val="3"/>
  </w:num>
  <w:num w:numId="15">
    <w:abstractNumId w:val="9"/>
  </w:num>
  <w:num w:numId="16">
    <w:abstractNumId w:val="18"/>
  </w:num>
  <w:num w:numId="17">
    <w:abstractNumId w:val="2"/>
  </w:num>
  <w:num w:numId="18">
    <w:abstractNumId w:val="16"/>
  </w:num>
  <w:num w:numId="19">
    <w:abstractNumId w:val="4"/>
  </w:num>
  <w:num w:numId="20">
    <w:abstractNumId w:val="8"/>
  </w:num>
  <w:num w:numId="21">
    <w:abstractNumId w:val="1"/>
  </w:num>
  <w:num w:numId="22">
    <w:abstractNumId w:val="15"/>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A66"/>
    <w:rsid w:val="000B2290"/>
    <w:rsid w:val="000B27E3"/>
    <w:rsid w:val="000D1750"/>
    <w:rsid w:val="0021477B"/>
    <w:rsid w:val="00234F74"/>
    <w:rsid w:val="00256940"/>
    <w:rsid w:val="003D4516"/>
    <w:rsid w:val="004235CB"/>
    <w:rsid w:val="004C3A4C"/>
    <w:rsid w:val="006D5D1A"/>
    <w:rsid w:val="00781D8B"/>
    <w:rsid w:val="007933AC"/>
    <w:rsid w:val="007F564C"/>
    <w:rsid w:val="00A84A66"/>
    <w:rsid w:val="00AD49DB"/>
    <w:rsid w:val="00BE0839"/>
    <w:rsid w:val="00C45686"/>
    <w:rsid w:val="00C86359"/>
    <w:rsid w:val="00E607D4"/>
    <w:rsid w:val="00EE0E24"/>
    <w:rsid w:val="00F33EFA"/>
    <w:rsid w:val="00F52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D76E4"/>
  <w15:chartTrackingRefBased/>
  <w15:docId w15:val="{F33A1480-1697-4088-986D-3C1DABDF5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E08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08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B22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8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0839"/>
    <w:rPr>
      <w:rFonts w:ascii="Times New Roman" w:eastAsia="Times New Roman" w:hAnsi="Times New Roman" w:cs="Times New Roman"/>
      <w:b/>
      <w:bCs/>
      <w:sz w:val="36"/>
      <w:szCs w:val="36"/>
    </w:rPr>
  </w:style>
  <w:style w:type="character" w:styleId="Strong">
    <w:name w:val="Strong"/>
    <w:basedOn w:val="DefaultParagraphFont"/>
    <w:uiPriority w:val="22"/>
    <w:qFormat/>
    <w:rsid w:val="00BE0839"/>
    <w:rPr>
      <w:b/>
      <w:bCs/>
    </w:rPr>
  </w:style>
  <w:style w:type="paragraph" w:styleId="NormalWeb">
    <w:name w:val="Normal (Web)"/>
    <w:basedOn w:val="Normal"/>
    <w:uiPriority w:val="99"/>
    <w:unhideWhenUsed/>
    <w:rsid w:val="00BE083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D5D1A"/>
    <w:rPr>
      <w:i/>
      <w:iCs/>
    </w:rPr>
  </w:style>
  <w:style w:type="character" w:customStyle="1" w:styleId="Heading3Char">
    <w:name w:val="Heading 3 Char"/>
    <w:basedOn w:val="DefaultParagraphFont"/>
    <w:link w:val="Heading3"/>
    <w:uiPriority w:val="9"/>
    <w:rsid w:val="000B2290"/>
    <w:rPr>
      <w:rFonts w:asciiTheme="majorHAnsi" w:eastAsiaTheme="majorEastAsia" w:hAnsiTheme="majorHAnsi" w:cstheme="majorBidi"/>
      <w:color w:val="1F4D78" w:themeColor="accent1" w:themeShade="7F"/>
      <w:sz w:val="24"/>
      <w:szCs w:val="24"/>
    </w:rPr>
  </w:style>
  <w:style w:type="character" w:customStyle="1" w:styleId="math-inline">
    <w:name w:val="math-inline"/>
    <w:basedOn w:val="DefaultParagraphFont"/>
    <w:rsid w:val="000D1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446885">
      <w:bodyDiv w:val="1"/>
      <w:marLeft w:val="0"/>
      <w:marRight w:val="0"/>
      <w:marTop w:val="0"/>
      <w:marBottom w:val="0"/>
      <w:divBdr>
        <w:top w:val="none" w:sz="0" w:space="0" w:color="auto"/>
        <w:left w:val="none" w:sz="0" w:space="0" w:color="auto"/>
        <w:bottom w:val="none" w:sz="0" w:space="0" w:color="auto"/>
        <w:right w:val="none" w:sz="0" w:space="0" w:color="auto"/>
      </w:divBdr>
    </w:div>
    <w:div w:id="384257123">
      <w:bodyDiv w:val="1"/>
      <w:marLeft w:val="0"/>
      <w:marRight w:val="0"/>
      <w:marTop w:val="0"/>
      <w:marBottom w:val="0"/>
      <w:divBdr>
        <w:top w:val="none" w:sz="0" w:space="0" w:color="auto"/>
        <w:left w:val="none" w:sz="0" w:space="0" w:color="auto"/>
        <w:bottom w:val="none" w:sz="0" w:space="0" w:color="auto"/>
        <w:right w:val="none" w:sz="0" w:space="0" w:color="auto"/>
      </w:divBdr>
      <w:divsChild>
        <w:div w:id="509881258">
          <w:marLeft w:val="0"/>
          <w:marRight w:val="0"/>
          <w:marTop w:val="0"/>
          <w:marBottom w:val="0"/>
          <w:divBdr>
            <w:top w:val="none" w:sz="0" w:space="0" w:color="auto"/>
            <w:left w:val="none" w:sz="0" w:space="0" w:color="auto"/>
            <w:bottom w:val="none" w:sz="0" w:space="0" w:color="auto"/>
            <w:right w:val="none" w:sz="0" w:space="0" w:color="auto"/>
          </w:divBdr>
        </w:div>
      </w:divsChild>
    </w:div>
    <w:div w:id="401408641">
      <w:bodyDiv w:val="1"/>
      <w:marLeft w:val="0"/>
      <w:marRight w:val="0"/>
      <w:marTop w:val="0"/>
      <w:marBottom w:val="0"/>
      <w:divBdr>
        <w:top w:val="none" w:sz="0" w:space="0" w:color="auto"/>
        <w:left w:val="none" w:sz="0" w:space="0" w:color="auto"/>
        <w:bottom w:val="none" w:sz="0" w:space="0" w:color="auto"/>
        <w:right w:val="none" w:sz="0" w:space="0" w:color="auto"/>
      </w:divBdr>
      <w:divsChild>
        <w:div w:id="1286808111">
          <w:marLeft w:val="0"/>
          <w:marRight w:val="0"/>
          <w:marTop w:val="0"/>
          <w:marBottom w:val="0"/>
          <w:divBdr>
            <w:top w:val="none" w:sz="0" w:space="0" w:color="auto"/>
            <w:left w:val="none" w:sz="0" w:space="0" w:color="auto"/>
            <w:bottom w:val="none" w:sz="0" w:space="0" w:color="auto"/>
            <w:right w:val="none" w:sz="0" w:space="0" w:color="auto"/>
          </w:divBdr>
          <w:divsChild>
            <w:div w:id="9422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1352">
      <w:bodyDiv w:val="1"/>
      <w:marLeft w:val="0"/>
      <w:marRight w:val="0"/>
      <w:marTop w:val="0"/>
      <w:marBottom w:val="0"/>
      <w:divBdr>
        <w:top w:val="none" w:sz="0" w:space="0" w:color="auto"/>
        <w:left w:val="none" w:sz="0" w:space="0" w:color="auto"/>
        <w:bottom w:val="none" w:sz="0" w:space="0" w:color="auto"/>
        <w:right w:val="none" w:sz="0" w:space="0" w:color="auto"/>
      </w:divBdr>
    </w:div>
    <w:div w:id="783115237">
      <w:bodyDiv w:val="1"/>
      <w:marLeft w:val="0"/>
      <w:marRight w:val="0"/>
      <w:marTop w:val="0"/>
      <w:marBottom w:val="0"/>
      <w:divBdr>
        <w:top w:val="none" w:sz="0" w:space="0" w:color="auto"/>
        <w:left w:val="none" w:sz="0" w:space="0" w:color="auto"/>
        <w:bottom w:val="none" w:sz="0" w:space="0" w:color="auto"/>
        <w:right w:val="none" w:sz="0" w:space="0" w:color="auto"/>
      </w:divBdr>
    </w:div>
    <w:div w:id="977298608">
      <w:bodyDiv w:val="1"/>
      <w:marLeft w:val="0"/>
      <w:marRight w:val="0"/>
      <w:marTop w:val="0"/>
      <w:marBottom w:val="0"/>
      <w:divBdr>
        <w:top w:val="none" w:sz="0" w:space="0" w:color="auto"/>
        <w:left w:val="none" w:sz="0" w:space="0" w:color="auto"/>
        <w:bottom w:val="none" w:sz="0" w:space="0" w:color="auto"/>
        <w:right w:val="none" w:sz="0" w:space="0" w:color="auto"/>
      </w:divBdr>
    </w:div>
    <w:div w:id="1059478942">
      <w:bodyDiv w:val="1"/>
      <w:marLeft w:val="0"/>
      <w:marRight w:val="0"/>
      <w:marTop w:val="0"/>
      <w:marBottom w:val="0"/>
      <w:divBdr>
        <w:top w:val="none" w:sz="0" w:space="0" w:color="auto"/>
        <w:left w:val="none" w:sz="0" w:space="0" w:color="auto"/>
        <w:bottom w:val="none" w:sz="0" w:space="0" w:color="auto"/>
        <w:right w:val="none" w:sz="0" w:space="0" w:color="auto"/>
      </w:divBdr>
    </w:div>
    <w:div w:id="1472285362">
      <w:bodyDiv w:val="1"/>
      <w:marLeft w:val="0"/>
      <w:marRight w:val="0"/>
      <w:marTop w:val="0"/>
      <w:marBottom w:val="0"/>
      <w:divBdr>
        <w:top w:val="none" w:sz="0" w:space="0" w:color="auto"/>
        <w:left w:val="none" w:sz="0" w:space="0" w:color="auto"/>
        <w:bottom w:val="none" w:sz="0" w:space="0" w:color="auto"/>
        <w:right w:val="none" w:sz="0" w:space="0" w:color="auto"/>
      </w:divBdr>
    </w:div>
    <w:div w:id="1667511127">
      <w:bodyDiv w:val="1"/>
      <w:marLeft w:val="0"/>
      <w:marRight w:val="0"/>
      <w:marTop w:val="0"/>
      <w:marBottom w:val="0"/>
      <w:divBdr>
        <w:top w:val="none" w:sz="0" w:space="0" w:color="auto"/>
        <w:left w:val="none" w:sz="0" w:space="0" w:color="auto"/>
        <w:bottom w:val="none" w:sz="0" w:space="0" w:color="auto"/>
        <w:right w:val="none" w:sz="0" w:space="0" w:color="auto"/>
      </w:divBdr>
    </w:div>
    <w:div w:id="1727952052">
      <w:bodyDiv w:val="1"/>
      <w:marLeft w:val="0"/>
      <w:marRight w:val="0"/>
      <w:marTop w:val="0"/>
      <w:marBottom w:val="0"/>
      <w:divBdr>
        <w:top w:val="none" w:sz="0" w:space="0" w:color="auto"/>
        <w:left w:val="none" w:sz="0" w:space="0" w:color="auto"/>
        <w:bottom w:val="none" w:sz="0" w:space="0" w:color="auto"/>
        <w:right w:val="none" w:sz="0" w:space="0" w:color="auto"/>
      </w:divBdr>
    </w:div>
    <w:div w:id="201714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1064</Words>
  <Characters>6068</Characters>
  <Application>Microsoft Office Word</Application>
  <DocSecurity>0</DocSecurity>
  <Lines>50</Lines>
  <Paragraphs>14</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HP</cp:lastModifiedBy>
  <cp:revision>50</cp:revision>
  <dcterms:created xsi:type="dcterms:W3CDTF">2026-07-06T08:56:00Z</dcterms:created>
  <dcterms:modified xsi:type="dcterms:W3CDTF">2026-07-07T17:41:00Z</dcterms:modified>
</cp:coreProperties>
</file>