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670C7" w14:textId="77777777" w:rsidR="00D44999" w:rsidRDefault="00000000">
      <w:pPr>
        <w:jc w:val="center"/>
      </w:pPr>
      <w:r>
        <w:rPr>
          <w:noProof/>
        </w:rPr>
        <w:drawing>
          <wp:inline distT="0" distB="0" distL="0" distR="0" wp14:anchorId="62B01057" wp14:editId="176FB851">
            <wp:extent cx="10477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5B88" w14:textId="77777777" w:rsidR="00D44999" w:rsidRDefault="00000000">
      <w:pPr>
        <w:spacing w:before="200" w:after="40"/>
        <w:jc w:val="center"/>
      </w:pPr>
      <w:r>
        <w:rPr>
          <w:b/>
          <w:bCs/>
          <w:color w:val="036638"/>
        </w:rPr>
        <w:t>ELEVATED CORE HEALTH</w:t>
      </w:r>
    </w:p>
    <w:p w14:paraId="4C41570F" w14:textId="77777777" w:rsidR="00D44999" w:rsidRDefault="00000000">
      <w:pPr>
        <w:spacing w:after="300"/>
        <w:jc w:val="center"/>
      </w:pPr>
      <w:r>
        <w:rPr>
          <w:b/>
          <w:bCs/>
          <w:color w:val="222222"/>
          <w:sz w:val="34"/>
          <w:szCs w:val="34"/>
        </w:rPr>
        <w:t>Intake, Verification &amp; Front-Desk Automation — Developer Build Brief</w:t>
      </w:r>
    </w:p>
    <w:p w14:paraId="01B5AE73" w14:textId="77777777" w:rsidR="00D44999" w:rsidRDefault="00000000">
      <w:pPr>
        <w:spacing w:after="400"/>
        <w:jc w:val="center"/>
      </w:pPr>
      <w:r>
        <w:rPr>
          <w:i/>
          <w:iCs/>
          <w:color w:val="555555"/>
        </w:rPr>
        <w:t>Prepared for the ECH development team  |  Version 1.0</w:t>
      </w:r>
    </w:p>
    <w:tbl>
      <w:tblPr>
        <w:tblW w:w="9350" w:type="dxa"/>
        <w:tblBorders>
          <w:top w:val="single" w:sz="4" w:space="0" w:color="036638"/>
          <w:left w:val="single" w:sz="4" w:space="0" w:color="036638"/>
          <w:bottom w:val="single" w:sz="4" w:space="0" w:color="036638"/>
          <w:right w:val="single" w:sz="4" w:space="0" w:color="03663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44999" w14:paraId="6351383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F216A5" w14:textId="77777777" w:rsidR="00D44999" w:rsidRDefault="00000000">
            <w:pPr>
              <w:spacing w:after="60"/>
            </w:pPr>
            <w:r>
              <w:rPr>
                <w:b/>
                <w:bCs/>
                <w:color w:val="036638"/>
                <w:sz w:val="21"/>
                <w:szCs w:val="21"/>
              </w:rPr>
              <w:t>Purpose of this document</w:t>
            </w:r>
          </w:p>
          <w:p w14:paraId="2F5B7982" w14:textId="77777777" w:rsidR="00D44999" w:rsidRDefault="00000000">
            <w:r>
              <w:rPr>
                <w:color w:val="222222"/>
                <w:sz w:val="21"/>
                <w:szCs w:val="21"/>
              </w:rPr>
              <w:t>This brief consolidates every automation discussed for Elevated Core Health's patient intake and lead-generation pipeline into a single build spec. It covers: (1) automated intake capture from booking platforms and phone calls, (2) automated verification of benefits (VOB), (3) the exception-routing logic that keeps human staff (Jude) touching only what actually needs a human, (4) a plain-language explainer of Make.com for anyone on the build team unfamiliar with the tool, (5) a website chatbot for lead capture with live handoff, and (6) a lightweight CRM to track leads before they become patients. This is a build spec, not a finished technical design — flagged open questions need vendor/API confirmation before implementation.</w:t>
            </w:r>
          </w:p>
        </w:tc>
      </w:tr>
    </w:tbl>
    <w:p w14:paraId="3DE71EA1" w14:textId="77777777" w:rsidR="00D44999" w:rsidRDefault="00000000">
      <w:r>
        <w:br w:type="page"/>
      </w:r>
    </w:p>
    <w:p w14:paraId="668ECF3E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lastRenderedPageBreak/>
        <w:t>1. Current Stack &amp; System of Record</w:t>
      </w:r>
    </w:p>
    <w:p w14:paraId="0FB165AD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Before building anything new, here is what already exists and what each system's role is: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D44999" w14:paraId="047B6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663C2" w14:textId="77777777" w:rsidR="00D44999" w:rsidRDefault="00000000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6950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DCF02" w14:textId="77777777" w:rsidR="00D44999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D44999" w14:paraId="1EEC7D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3BC1B" w14:textId="77777777" w:rsidR="00D44999" w:rsidRDefault="00000000">
            <w:proofErr w:type="spellStart"/>
            <w:r>
              <w:rPr>
                <w:color w:val="222222"/>
              </w:rPr>
              <w:t>Optimantra</w:t>
            </w:r>
            <w:proofErr w:type="spellEnd"/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340D3C" w14:textId="77777777" w:rsidR="00D44999" w:rsidRDefault="00000000">
            <w:r>
              <w:rPr>
                <w:color w:val="222222"/>
              </w:rPr>
              <w:t>EHR of record. Patient charts, scheduling, telehealth, patient portal, and native integration with Eligible (insurance eligibility/VOB vendor).</w:t>
            </w:r>
          </w:p>
        </w:tc>
      </w:tr>
      <w:tr w:rsidR="00D44999" w14:paraId="6051C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40F58" w14:textId="77777777" w:rsidR="00D44999" w:rsidRDefault="00000000">
            <w:proofErr w:type="spellStart"/>
            <w:r>
              <w:rPr>
                <w:color w:val="222222"/>
              </w:rPr>
              <w:t>MedWriter</w:t>
            </w:r>
            <w:proofErr w:type="spellEnd"/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DA14C" w14:textId="77777777" w:rsidR="00D44999" w:rsidRDefault="00000000">
            <w:r>
              <w:rPr>
                <w:color w:val="222222"/>
              </w:rPr>
              <w:t xml:space="preserve">AI dictation tool. Generates clinical notes; pushes into </w:t>
            </w:r>
            <w:proofErr w:type="spellStart"/>
            <w:r>
              <w:rPr>
                <w:color w:val="222222"/>
              </w:rPr>
              <w:t>Optimantra</w:t>
            </w:r>
            <w:proofErr w:type="spellEnd"/>
            <w:r>
              <w:rPr>
                <w:color w:val="222222"/>
              </w:rPr>
              <w:t xml:space="preserve"> (known bug: line breaks strip on push — flag for vendor).</w:t>
            </w:r>
          </w:p>
        </w:tc>
      </w:tr>
      <w:tr w:rsidR="00D44999" w14:paraId="41C83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4CF28" w14:textId="77777777" w:rsidR="00D44999" w:rsidRDefault="00000000">
            <w:r>
              <w:rPr>
                <w:color w:val="222222"/>
              </w:rPr>
              <w:t>Make.com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BF663" w14:textId="77777777" w:rsidR="00D44999" w:rsidRDefault="00000000">
            <w:r>
              <w:rPr>
                <w:color w:val="222222"/>
              </w:rPr>
              <w:t>No-code automation/integration layer. See Section 5 for a full explainer.</w:t>
            </w:r>
          </w:p>
        </w:tc>
      </w:tr>
      <w:tr w:rsidR="00D44999" w14:paraId="11414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1BCC14" w14:textId="77777777" w:rsidR="00D44999" w:rsidRDefault="00000000">
            <w:proofErr w:type="spellStart"/>
            <w:r>
              <w:rPr>
                <w:color w:val="222222"/>
              </w:rPr>
              <w:t>ClickUp</w:t>
            </w:r>
            <w:proofErr w:type="spellEnd"/>
            <w:r>
              <w:rPr>
                <w:color w:val="222222"/>
              </w:rPr>
              <w:t xml:space="preserve"> / Care Pipeline Portal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0F3AF" w14:textId="77777777" w:rsidR="00D44999" w:rsidRDefault="00000000">
            <w:r>
              <w:rPr>
                <w:color w:val="222222"/>
              </w:rPr>
              <w:t>Internal patient-status tracking (7-stage Kanban: Onboarding → Reconciled). Portal is spec'd but not yet live with a backend/webhook.</w:t>
            </w:r>
          </w:p>
        </w:tc>
      </w:tr>
      <w:tr w:rsidR="00D44999" w14:paraId="571A4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51227" w14:textId="77777777" w:rsidR="00D44999" w:rsidRDefault="00000000">
            <w:r>
              <w:rPr>
                <w:color w:val="222222"/>
              </w:rPr>
              <w:t xml:space="preserve">Headway, Grow Therapy, </w:t>
            </w:r>
            <w:proofErr w:type="spellStart"/>
            <w:r>
              <w:rPr>
                <w:color w:val="222222"/>
              </w:rPr>
              <w:t>ZocDoc</w:t>
            </w:r>
            <w:proofErr w:type="spellEnd"/>
            <w:r>
              <w:rPr>
                <w:color w:val="222222"/>
              </w:rPr>
              <w:t>, Klarity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62947" w14:textId="77777777" w:rsidR="00D44999" w:rsidRDefault="00000000">
            <w:r>
              <w:rPr>
                <w:color w:val="222222"/>
              </w:rPr>
              <w:t>Patient acquisition / booking platforms. Source of inbound bookings that should trigger intake automation.</w:t>
            </w:r>
          </w:p>
        </w:tc>
      </w:tr>
      <w:tr w:rsidR="00D44999" w14:paraId="6E2DC8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1BBC8" w14:textId="77777777" w:rsidR="00D44999" w:rsidRDefault="00000000">
            <w:r>
              <w:rPr>
                <w:color w:val="222222"/>
              </w:rPr>
              <w:t>Refixed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DA4F3" w14:textId="77777777" w:rsidR="00D44999" w:rsidRDefault="00000000">
            <w:r>
              <w:rPr>
                <w:color w:val="222222"/>
              </w:rPr>
              <w:t>Billing team — handles insurance billing and Headway/Grow Therapy data entry.</w:t>
            </w:r>
          </w:p>
        </w:tc>
      </w:tr>
      <w:tr w:rsidR="00D44999" w14:paraId="14D8D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1A43E" w14:textId="77777777" w:rsidR="00D44999" w:rsidRDefault="00000000">
            <w:r>
              <w:rPr>
                <w:color w:val="222222"/>
              </w:rPr>
              <w:t>Scribe Align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6DDD3" w14:textId="77777777" w:rsidR="00D44999" w:rsidRDefault="00000000">
            <w:r>
              <w:rPr>
                <w:color w:val="222222"/>
              </w:rPr>
              <w:t xml:space="preserve">Provides a VA for daily charting support (with backup coverage) and runs an ongoing </w:t>
            </w:r>
            <w:proofErr w:type="spellStart"/>
            <w:r>
              <w:rPr>
                <w:color w:val="222222"/>
              </w:rPr>
              <w:t>clawback</w:t>
            </w:r>
            <w:proofErr w:type="spellEnd"/>
            <w:r>
              <w:rPr>
                <w:color w:val="222222"/>
              </w:rPr>
              <w:t>/documentation chart audit before submission.</w:t>
            </w:r>
          </w:p>
        </w:tc>
      </w:tr>
      <w:tr w:rsidR="00D44999" w14:paraId="7D6F3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4A818" w14:textId="77777777" w:rsidR="00D44999" w:rsidRDefault="00000000">
            <w:r>
              <w:rPr>
                <w:color w:val="222222"/>
              </w:rPr>
              <w:t>Jude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B18CB0" w14:textId="77777777" w:rsidR="00D44999" w:rsidRDefault="00000000">
            <w:r>
              <w:rPr>
                <w:color w:val="222222"/>
              </w:rPr>
              <w:t>Front-desk/intake contractor (AM shift). Should only be looped in for exceptions once this automation is live — not for routine data entry.</w:t>
            </w:r>
          </w:p>
        </w:tc>
      </w:tr>
    </w:tbl>
    <w:p w14:paraId="2DEA73B1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2. Target End-to-End Flow</w:t>
      </w:r>
    </w:p>
    <w:p w14:paraId="1665298A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The goal: a patient books (online or by phone) and everything through eligibility verification happens with zero manual touch, unless something is actually wrong.</w:t>
      </w:r>
    </w:p>
    <w:p w14:paraId="41F75D9D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Trigger — most bookings arrive by email or text notification from Headway, Grow Therapy, </w:t>
      </w:r>
      <w:proofErr w:type="spellStart"/>
      <w:r>
        <w:rPr>
          <w:color w:val="222222"/>
          <w:sz w:val="21"/>
          <w:szCs w:val="21"/>
        </w:rPr>
        <w:t>ZocDoc</w:t>
      </w:r>
      <w:proofErr w:type="spellEnd"/>
      <w:r>
        <w:rPr>
          <w:color w:val="222222"/>
          <w:sz w:val="21"/>
          <w:szCs w:val="21"/>
        </w:rPr>
        <w:t xml:space="preserve">, Klarity, or Google — this is the primary, high-volume channel. Direct phone calls happen </w:t>
      </w:r>
      <w:proofErr w:type="gramStart"/>
      <w:r>
        <w:rPr>
          <w:color w:val="222222"/>
          <w:sz w:val="21"/>
          <w:szCs w:val="21"/>
        </w:rPr>
        <w:t>too, but</w:t>
      </w:r>
      <w:proofErr w:type="gramEnd"/>
      <w:r>
        <w:rPr>
          <w:color w:val="222222"/>
          <w:sz w:val="21"/>
          <w:szCs w:val="21"/>
        </w:rPr>
        <w:t xml:space="preserve"> are the minority channel (see Section 7).</w:t>
      </w:r>
    </w:p>
    <w:p w14:paraId="49CF18A4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Capture — booking/call data is </w:t>
      </w:r>
      <w:proofErr w:type="gramStart"/>
      <w:r>
        <w:rPr>
          <w:color w:val="222222"/>
          <w:sz w:val="21"/>
          <w:szCs w:val="21"/>
        </w:rPr>
        <w:t>parsed</w:t>
      </w:r>
      <w:proofErr w:type="gramEnd"/>
      <w:r>
        <w:rPr>
          <w:color w:val="222222"/>
          <w:sz w:val="21"/>
          <w:szCs w:val="21"/>
        </w:rPr>
        <w:t xml:space="preserve"> and a patient card is auto-created in the Care Pipeline /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board at the ONBOARDING stage.</w:t>
      </w:r>
    </w:p>
    <w:p w14:paraId="28F125CB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Forms — demographics, insurance, HIPAA Notice of Privacy Practices, informed consent, telehealth consent, and PHQ-9/GAD-7 are auto-sent via the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patient portal immediately on card creation.</w:t>
      </w:r>
    </w:p>
    <w:p w14:paraId="4643AAE5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Profile push — captured demographic + insurance data is written into the matching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patient profile fields.</w:t>
      </w:r>
    </w:p>
    <w:p w14:paraId="2CFFFE57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Auto-VOB — </w:t>
      </w:r>
      <w:proofErr w:type="spellStart"/>
      <w:r>
        <w:rPr>
          <w:color w:val="222222"/>
          <w:sz w:val="21"/>
          <w:szCs w:val="21"/>
        </w:rPr>
        <w:t>Optimantra's</w:t>
      </w:r>
      <w:proofErr w:type="spellEnd"/>
      <w:r>
        <w:rPr>
          <w:color w:val="222222"/>
          <w:sz w:val="21"/>
          <w:szCs w:val="21"/>
        </w:rPr>
        <w:t xml:space="preserve"> existing Eligible integration runs off that profile data and writes eligibility/benefit results back into the chart. (See Section 4 — one detail needs confirming with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support.)</w:t>
      </w:r>
    </w:p>
    <w:p w14:paraId="73CD1FB3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Routing — if forms are complete and eligibility is confirmed, the card auto-advances to SCHEDULED/READY. If something is missing or eligibility fails, the card is flagged for Jude — this should be the only point a human is looped in.</w:t>
      </w:r>
    </w:p>
    <w:p w14:paraId="1F461CE7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Reminders — automated appointment reminder sequence (text/email) runs from card creation through visit day. A stale-card flag alerts Jude if a card sits with no activity past a defined threshold.</w:t>
      </w:r>
    </w:p>
    <w:p w14:paraId="5FCF7B98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Visit day — Donna sees the patient with forms, insurance verification, and chart prep already complete.</w:t>
      </w:r>
    </w:p>
    <w:p w14:paraId="35C56078" w14:textId="77777777" w:rsidR="00D44999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3FEC5AE" wp14:editId="4FF27E46">
            <wp:extent cx="4381500" cy="6010275"/>
            <wp:effectExtent l="0" t="0" r="0" b="0"/>
            <wp:docPr id="1724388688" name="Picture 1724388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A4CC" w14:textId="77777777" w:rsidR="00D44999" w:rsidRDefault="00000000"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>Figure 1 — Target intake automation flow, steps 1–7 above</w:t>
      </w:r>
    </w:p>
    <w:p w14:paraId="164911B6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3. Intake Capture — Email &amp; Text Notifications (Primary Path)</w:t>
      </w:r>
    </w:p>
    <w:tbl>
      <w:tblPr>
        <w:tblW w:w="9350" w:type="dxa"/>
        <w:tblBorders>
          <w:top w:val="single" w:sz="4" w:space="0" w:color="036638"/>
          <w:left w:val="single" w:sz="4" w:space="0" w:color="036638"/>
          <w:bottom w:val="single" w:sz="4" w:space="0" w:color="036638"/>
          <w:right w:val="single" w:sz="4" w:space="0" w:color="03663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44999" w14:paraId="347F536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39204D" w14:textId="77777777" w:rsidR="00D44999" w:rsidRDefault="00000000">
            <w:pPr>
              <w:spacing w:after="60"/>
            </w:pPr>
            <w:r>
              <w:rPr>
                <w:b/>
                <w:bCs/>
                <w:color w:val="036638"/>
                <w:sz w:val="21"/>
                <w:szCs w:val="21"/>
              </w:rPr>
              <w:t>Build priority</w:t>
            </w:r>
          </w:p>
          <w:p w14:paraId="0698F1C2" w14:textId="77777777" w:rsidR="00D44999" w:rsidRDefault="00000000">
            <w:r>
              <w:rPr>
                <w:color w:val="222222"/>
                <w:sz w:val="21"/>
                <w:szCs w:val="21"/>
              </w:rPr>
              <w:t xml:space="preserve">This is the highest-volume trigger and should be built first. The majority of new-patient notifications arrive as email or text messages from Headway, Grow Therapy, </w:t>
            </w:r>
            <w:proofErr w:type="spellStart"/>
            <w:r>
              <w:rPr>
                <w:color w:val="222222"/>
                <w:sz w:val="21"/>
                <w:szCs w:val="21"/>
              </w:rPr>
              <w:t>ZocDoc</w:t>
            </w:r>
            <w:proofErr w:type="spellEnd"/>
            <w:r>
              <w:rPr>
                <w:color w:val="222222"/>
                <w:sz w:val="21"/>
                <w:szCs w:val="21"/>
              </w:rPr>
              <w:t>, Klarity, and Google — not as phone calls. Phone-call intake (Section 7) is a real but secondary channel and should be sequenced after this one, not before it.</w:t>
            </w:r>
          </w:p>
        </w:tc>
      </w:tr>
    </w:tbl>
    <w:p w14:paraId="13AF6B8A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3.1 What to build</w:t>
      </w:r>
    </w:p>
    <w:p w14:paraId="4BBD4DCC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lastRenderedPageBreak/>
        <w:t xml:space="preserve">A Make.com scenario that watches (a) the practice's booking-confirmation inbox for new-booking emails, and (b) the business text/SMS line for booking notifications, parses new-booking notifications from Headway, Grow Therapy, </w:t>
      </w:r>
      <w:proofErr w:type="spellStart"/>
      <w:r>
        <w:rPr>
          <w:color w:val="222222"/>
          <w:sz w:val="21"/>
          <w:szCs w:val="21"/>
        </w:rPr>
        <w:t>ZocDoc</w:t>
      </w:r>
      <w:proofErr w:type="spellEnd"/>
      <w:r>
        <w:rPr>
          <w:color w:val="222222"/>
          <w:sz w:val="21"/>
          <w:szCs w:val="21"/>
        </w:rPr>
        <w:t xml:space="preserve">, Klarity, and Google, and creates a new patient card in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/ the Care Pipeline board.</w:t>
      </w:r>
    </w:p>
    <w:p w14:paraId="385E5B95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3.2 Notes for the build</w:t>
      </w:r>
    </w:p>
    <w:p w14:paraId="16EC401E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Each booking platform formats its confirmation emails and texts differently — the parsing logic needs a separate template/rule per platform and per channel (email vs. SMS), not one generic parser.</w:t>
      </w:r>
    </w:p>
    <w:p w14:paraId="00648257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Where a platform offers a native webhook or API instead of email/text parsing, prefer that — it's more reliable and should be the first option evaluated per platform.</w:t>
      </w:r>
    </w:p>
    <w:p w14:paraId="2AE8E301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Confirm which of Headway, Grow Therapy, </w:t>
      </w:r>
      <w:proofErr w:type="spellStart"/>
      <w:r>
        <w:rPr>
          <w:color w:val="222222"/>
          <w:sz w:val="21"/>
          <w:szCs w:val="21"/>
        </w:rPr>
        <w:t>ZocDoc</w:t>
      </w:r>
      <w:proofErr w:type="spellEnd"/>
      <w:r>
        <w:rPr>
          <w:color w:val="222222"/>
          <w:sz w:val="21"/>
          <w:szCs w:val="21"/>
        </w:rPr>
        <w:t>, Klarity, and Google notify by email vs. text vs. both — this determines whether the Make.com scenario needs one intake channel or two per platform.</w:t>
      </w:r>
    </w:p>
    <w:p w14:paraId="435954F6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This scenario should run independently of the Care Pipeline portal's live backend — it does not need to wait on that build to go live.</w:t>
      </w:r>
    </w:p>
    <w:p w14:paraId="551D410D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Output of this step: a new card with patient name, DOB, contact info, insurance info (if provided at booking), appointment date/time, and source platform tagged.</w:t>
      </w:r>
    </w:p>
    <w:p w14:paraId="5E5567D6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4. Automated Verification of Benefits (VOB)</w:t>
      </w:r>
    </w:p>
    <w:tbl>
      <w:tblPr>
        <w:tblW w:w="9350" w:type="dxa"/>
        <w:tblBorders>
          <w:top w:val="single" w:sz="4" w:space="0" w:color="036638"/>
          <w:left w:val="single" w:sz="4" w:space="0" w:color="036638"/>
          <w:bottom w:val="single" w:sz="4" w:space="0" w:color="036638"/>
          <w:right w:val="single" w:sz="4" w:space="0" w:color="03663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44999" w14:paraId="5E2596B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7D6DF6" w14:textId="77777777" w:rsidR="00D44999" w:rsidRDefault="00000000">
            <w:pPr>
              <w:spacing w:after="60"/>
            </w:pPr>
            <w:r>
              <w:rPr>
                <w:b/>
                <w:bCs/>
                <w:color w:val="036638"/>
                <w:sz w:val="21"/>
                <w:szCs w:val="21"/>
              </w:rPr>
              <w:t>Status: Confirmed available</w:t>
            </w:r>
          </w:p>
          <w:p w14:paraId="1FF03B74" w14:textId="77777777" w:rsidR="00D44999" w:rsidRDefault="00000000">
            <w:proofErr w:type="spellStart"/>
            <w:r>
              <w:rPr>
                <w:color w:val="222222"/>
                <w:sz w:val="21"/>
                <w:szCs w:val="21"/>
              </w:rPr>
              <w:t>Optimantra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already has an active integration with Eligible (a benefits-verification vendor connected to 1,900+ payers) on this account. This does not require a new vendor relationship — it needs to be wired into the automated intake flow.</w:t>
            </w:r>
          </w:p>
        </w:tc>
      </w:tr>
    </w:tbl>
    <w:p w14:paraId="631513C6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4.1 What to build</w:t>
      </w:r>
    </w:p>
    <w:p w14:paraId="3AA46C78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Map the intake-captured insurance fields (member ID, payer name, group number, subscriber DOB) to the exact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profile fields Eligible reads from.</w:t>
      </w:r>
    </w:p>
    <w:p w14:paraId="50E213C1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Confirm with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support whether Eligible auto-triggers the moment those fields are saved to a </w:t>
      </w:r>
      <w:proofErr w:type="gramStart"/>
      <w:r>
        <w:rPr>
          <w:color w:val="222222"/>
          <w:sz w:val="21"/>
          <w:szCs w:val="21"/>
        </w:rPr>
        <w:t>profile, or</w:t>
      </w:r>
      <w:proofErr w:type="gramEnd"/>
      <w:r>
        <w:rPr>
          <w:color w:val="222222"/>
          <w:sz w:val="21"/>
          <w:szCs w:val="21"/>
        </w:rPr>
        <w:t xml:space="preserve"> requires a manual ‘run eligibility’ action even with the integration active. This determines whether the flow is fully hands-off or needs one click per patient — get this in writing from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support before building the trigger logic.</w:t>
      </w:r>
    </w:p>
    <w:p w14:paraId="0C1CBCFE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Write eligibility results (coverage status, copay, deductible) back into the patient card so Jude/Donna see it without opening the chart separately.</w:t>
      </w:r>
    </w:p>
    <w:tbl>
      <w:tblPr>
        <w:tblW w:w="935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44999" w14:paraId="38C247C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8B02A3" w14:textId="77777777" w:rsidR="00D44999" w:rsidRDefault="00000000"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>Known limitation to build around</w:t>
            </w:r>
          </w:p>
          <w:p w14:paraId="00F1010F" w14:textId="77777777" w:rsidR="00D44999" w:rsidRDefault="00000000">
            <w:r>
              <w:rPr>
                <w:color w:val="222222"/>
                <w:sz w:val="21"/>
                <w:szCs w:val="21"/>
              </w:rPr>
              <w:t>Automated eligibility checks (270/271 transactions) reliably confirm active coverage and copay/deductible, but for behavioral health specifically, some payers don't return full benefit detail — session limits, prior-authorization requirements — through the automated feed. Build the exception path (Section 6) to route these cases to Jude for a manual call rather than assuming every check is complete.</w:t>
            </w:r>
          </w:p>
        </w:tc>
      </w:tr>
    </w:tbl>
    <w:p w14:paraId="1047B6DF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5. What Make.com Is (for anyone on the build unfamiliar with it)</w:t>
      </w:r>
    </w:p>
    <w:p w14:paraId="2A3F3C57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Make.com is a no-code/low-code automation platform — think of it as connective tissue between apps that don't otherwise talk to each other, without writing a full custom backend for each connection.</w:t>
      </w:r>
    </w:p>
    <w:p w14:paraId="56FA9957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5.1 Core concepts</w:t>
      </w:r>
    </w:p>
    <w:p w14:paraId="66D9803C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lastRenderedPageBreak/>
        <w:t xml:space="preserve">Scenario — a single automated workflow (e.g., “new booking email arrives → create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card → send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intake forms”).</w:t>
      </w:r>
    </w:p>
    <w:p w14:paraId="411971A3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Trigger — the event that starts a scenario: a new email arriving, a webhook being hit, a scheduled time interval, a new row in a spreadsheet, etc.</w:t>
      </w:r>
    </w:p>
    <w:p w14:paraId="08294D04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Module — each step inside a scenario. Modules connect to specific apps (Gmail,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via API/webhook, Twilio, etc.) and perform one action each: read data, transform it, write it somewhere else.</w:t>
      </w:r>
    </w:p>
    <w:p w14:paraId="337C3AEA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Webhook — a URL that an external system can call to push data into a Make.com scenario instantly, instead of Make.com having to poll/check periodically. Preferred over email-parsing wherever a platform supports it.</w:t>
      </w:r>
    </w:p>
    <w:p w14:paraId="3FED0025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Router / Filter — logic inside a scenario that sends data down different paths depending on conditions (e.g., “if eligibility check fails, route to Jude; if it passes, auto-advance the card”).</w:t>
      </w:r>
    </w:p>
    <w:p w14:paraId="022B5CD1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5.2 Why it's the right tool here</w:t>
      </w:r>
    </w:p>
    <w:p w14:paraId="54947B71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It avoids building and hosting custom middleware for every integration (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↔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↔ booking platforms ↔ SMS/email). Most of the connections needed for this build (email, webhooks,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>, SMS/email sending) have pre-built Make.com modules, which shortens build time versus writing bespoke API integration code for each one.</w:t>
      </w:r>
    </w:p>
    <w:p w14:paraId="5F507CC3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5.3 What the developer needs access to</w:t>
      </w:r>
    </w:p>
    <w:p w14:paraId="2DCF2619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An ECH Make.com account (owner: Donna) with the developer added as a collaborator.</w:t>
      </w:r>
    </w:p>
    <w:p w14:paraId="7EF55E13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API/webhook credentials — request from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support, scoped to what this build needs (profile read/write, eligibility trigger if applicable).</w:t>
      </w:r>
    </w:p>
    <w:p w14:paraId="26270CAB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API token for the relevant workspace/board.</w:t>
      </w:r>
    </w:p>
    <w:p w14:paraId="431DC913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Access to the booking-confirmation inbox (or a dedicated intake-only inbox, which is cleaner and recommended </w:t>
      </w:r>
      <w:proofErr w:type="gramStart"/>
      <w:r>
        <w:rPr>
          <w:color w:val="222222"/>
          <w:sz w:val="21"/>
          <w:szCs w:val="21"/>
        </w:rPr>
        <w:t>over using</w:t>
      </w:r>
      <w:proofErr w:type="gramEnd"/>
      <w:r>
        <w:rPr>
          <w:color w:val="222222"/>
          <w:sz w:val="21"/>
          <w:szCs w:val="21"/>
        </w:rPr>
        <w:t xml:space="preserve"> a personal inbox).</w:t>
      </w:r>
    </w:p>
    <w:p w14:paraId="68B7A648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6. Exception Routing</w:t>
      </w:r>
    </w:p>
    <w:p w14:paraId="687303D3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The entire point of this build is that Jude's queue should only ever contain things that actually need a human. Build the routing logic so the following — and only the following — create a task/flag for Jude:</w:t>
      </w:r>
    </w:p>
    <w:p w14:paraId="1F66B688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An intake form wasn't completed within a defined window (e.g., 24–48 </w:t>
      </w:r>
      <w:proofErr w:type="spellStart"/>
      <w:r>
        <w:rPr>
          <w:color w:val="222222"/>
          <w:sz w:val="21"/>
          <w:szCs w:val="21"/>
        </w:rPr>
        <w:t>hrs</w:t>
      </w:r>
      <w:proofErr w:type="spellEnd"/>
      <w:r>
        <w:rPr>
          <w:color w:val="222222"/>
          <w:sz w:val="21"/>
          <w:szCs w:val="21"/>
        </w:rPr>
        <w:t xml:space="preserve"> pre-visit).</w:t>
      </w:r>
    </w:p>
    <w:p w14:paraId="42754311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Eligibility </w:t>
      </w:r>
      <w:proofErr w:type="gramStart"/>
      <w:r>
        <w:rPr>
          <w:color w:val="222222"/>
          <w:sz w:val="21"/>
          <w:szCs w:val="21"/>
        </w:rPr>
        <w:t>check</w:t>
      </w:r>
      <w:proofErr w:type="gramEnd"/>
      <w:r>
        <w:rPr>
          <w:color w:val="222222"/>
          <w:sz w:val="21"/>
          <w:szCs w:val="21"/>
        </w:rPr>
        <w:t xml:space="preserve"> failed, returned inactive coverage, or returned incomplete behavioral-health-specific benefit data.</w:t>
      </w:r>
    </w:p>
    <w:p w14:paraId="279ABDD7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Self-pay patient needs card-on-file collection.</w:t>
      </w:r>
    </w:p>
    <w:p w14:paraId="7671B2B3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A card has had no status change within a defined “stale” threshold (recommend starting at 48 </w:t>
      </w:r>
      <w:proofErr w:type="spellStart"/>
      <w:r>
        <w:rPr>
          <w:color w:val="222222"/>
          <w:sz w:val="21"/>
          <w:szCs w:val="21"/>
        </w:rPr>
        <w:t>hrs</w:t>
      </w:r>
      <w:proofErr w:type="spellEnd"/>
      <w:r>
        <w:rPr>
          <w:color w:val="222222"/>
          <w:sz w:val="21"/>
          <w:szCs w:val="21"/>
        </w:rPr>
        <w:t>, adjustable).</w:t>
      </w:r>
    </w:p>
    <w:p w14:paraId="02E175D1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Everything else should move through the pipeline with zero manual touch.</w:t>
      </w:r>
    </w:p>
    <w:p w14:paraId="1E717EE9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7. Phone-Call Intake — Two Build Paths</w:t>
      </w:r>
    </w:p>
    <w:p w14:paraId="031E7C07" w14:textId="77777777" w:rsidR="00D44999" w:rsidRDefault="00000000">
      <w:pPr>
        <w:spacing w:after="140"/>
      </w:pP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itself does not have a built-in phone/receptionist system — it's an EHR, not a phone system. Getting phone-call intake into this same pipeline means either (A) using a third-party AI-receptionist vendor that connects to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>, or (B) building a custom voice-intake layer in-house. Both are laid out below for the developer to scope against.</w:t>
      </w:r>
    </w:p>
    <w:p w14:paraId="4388D8AF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Option A — Third-party AI receptionist vendor</w:t>
      </w:r>
    </w:p>
    <w:p w14:paraId="73ED77A2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 xml:space="preserve">Example: Cevi.ai — a third-party automation platform built specifically to connect to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, offering an AI voice receptionist (answers calls, captures intake conversationally, pushes data into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>) plus a pre-built insurance-verification workflow. This is one example vendor found via research, not a vetted recommendation — evaluate against comparable vendors before committing.</w:t>
      </w:r>
    </w:p>
    <w:p w14:paraId="78136C52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lastRenderedPageBreak/>
        <w:t>Option B — Custom-built voice intake</w:t>
      </w:r>
    </w:p>
    <w:p w14:paraId="1C2F8A57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Components required if building in-house:</w:t>
      </w:r>
    </w:p>
    <w:p w14:paraId="66DAEB84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Telephony layer to receive calls and provide a business number (e.g., Twilio).</w:t>
      </w:r>
    </w:p>
    <w:p w14:paraId="778A24D4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Conversational AI layer to understand the caller and run the intake question script.</w:t>
      </w:r>
    </w:p>
    <w:p w14:paraId="09B3DF37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Integration logic writing captured call data into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via API — </w:t>
      </w:r>
      <w:proofErr w:type="gramStart"/>
      <w:r>
        <w:rPr>
          <w:color w:val="222222"/>
          <w:sz w:val="21"/>
          <w:szCs w:val="21"/>
        </w:rPr>
        <w:t>this overlaps</w:t>
      </w:r>
      <w:proofErr w:type="gramEnd"/>
      <w:r>
        <w:rPr>
          <w:color w:val="222222"/>
          <w:sz w:val="21"/>
          <w:szCs w:val="21"/>
        </w:rPr>
        <w:t xml:space="preserve"> with work already planned for the Care Pipeline build.</w:t>
      </w:r>
    </w:p>
    <w:p w14:paraId="548700BE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End-to-end HIPAA compliance: BAA-covered telephony/AI vendor, encrypted call handling and storage — same requirement already covered by the developer's existing BAA with ECH, but any new sub-vendor (telephony, voice AI) needs its own BAA.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75"/>
        <w:gridCol w:w="3675"/>
      </w:tblGrid>
      <w:tr w:rsidR="00D44999" w14:paraId="6F06E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468F7" w14:textId="77777777" w:rsidR="00D44999" w:rsidRDefault="00D44999"/>
        </w:tc>
        <w:tc>
          <w:tcPr>
            <w:tcW w:w="3675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BB3CF" w14:textId="77777777" w:rsidR="00D44999" w:rsidRDefault="00000000">
            <w:r>
              <w:rPr>
                <w:b/>
                <w:bCs/>
                <w:color w:val="FFFFFF"/>
              </w:rPr>
              <w:t>Option A — Vendor</w:t>
            </w:r>
          </w:p>
        </w:tc>
        <w:tc>
          <w:tcPr>
            <w:tcW w:w="3675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DCB25" w14:textId="77777777" w:rsidR="00D44999" w:rsidRDefault="00000000">
            <w:r>
              <w:rPr>
                <w:b/>
                <w:bCs/>
                <w:color w:val="FFFFFF"/>
              </w:rPr>
              <w:t>Option B — Custom build</w:t>
            </w:r>
          </w:p>
        </w:tc>
      </w:tr>
      <w:tr w:rsidR="00D44999" w14:paraId="0EBC03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B0DFA" w14:textId="77777777" w:rsidR="00D44999" w:rsidRDefault="00000000">
            <w:r>
              <w:rPr>
                <w:color w:val="222222"/>
              </w:rPr>
              <w:t>Cost</w:t>
            </w:r>
          </w:p>
        </w:tc>
        <w:tc>
          <w:tcPr>
            <w:tcW w:w="3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B41C8B" w14:textId="77777777" w:rsidR="00D44999" w:rsidRDefault="00000000">
            <w:r>
              <w:rPr>
                <w:color w:val="222222"/>
              </w:rPr>
              <w:t>Recurring subscription, lower upfront</w:t>
            </w:r>
          </w:p>
        </w:tc>
        <w:tc>
          <w:tcPr>
            <w:tcW w:w="3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B7C98C" w14:textId="77777777" w:rsidR="00D44999" w:rsidRDefault="00000000">
            <w:r>
              <w:rPr>
                <w:color w:val="222222"/>
              </w:rPr>
              <w:t>Larger upfront dev cost, no per-workflow fee</w:t>
            </w:r>
          </w:p>
        </w:tc>
      </w:tr>
      <w:tr w:rsidR="00D44999" w14:paraId="27E1B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DD0E3" w14:textId="77777777" w:rsidR="00D44999" w:rsidRDefault="00000000">
            <w:r>
              <w:rPr>
                <w:color w:val="222222"/>
              </w:rPr>
              <w:t>Timeline</w:t>
            </w:r>
          </w:p>
        </w:tc>
        <w:tc>
          <w:tcPr>
            <w:tcW w:w="3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381DD" w14:textId="77777777" w:rsidR="00D44999" w:rsidRDefault="00000000">
            <w:r>
              <w:rPr>
                <w:color w:val="222222"/>
              </w:rPr>
              <w:t>Faster to live</w:t>
            </w:r>
          </w:p>
        </w:tc>
        <w:tc>
          <w:tcPr>
            <w:tcW w:w="3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49B640" w14:textId="77777777" w:rsidR="00D44999" w:rsidRDefault="00000000">
            <w:r>
              <w:rPr>
                <w:color w:val="222222"/>
              </w:rPr>
              <w:t>Longer — building what vendors already sell</w:t>
            </w:r>
          </w:p>
        </w:tc>
      </w:tr>
      <w:tr w:rsidR="00D44999" w14:paraId="22661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3180C" w14:textId="77777777" w:rsidR="00D44999" w:rsidRDefault="00000000">
            <w:r>
              <w:rPr>
                <w:color w:val="222222"/>
              </w:rPr>
              <w:t>Customization</w:t>
            </w:r>
          </w:p>
        </w:tc>
        <w:tc>
          <w:tcPr>
            <w:tcW w:w="3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E51B0" w14:textId="77777777" w:rsidR="00D44999" w:rsidRDefault="00000000">
            <w:r>
              <w:rPr>
                <w:color w:val="222222"/>
              </w:rPr>
              <w:t>Limited to vendor's templates</w:t>
            </w:r>
          </w:p>
        </w:tc>
        <w:tc>
          <w:tcPr>
            <w:tcW w:w="3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091CD" w14:textId="77777777" w:rsidR="00D44999" w:rsidRDefault="00000000">
            <w:r>
              <w:rPr>
                <w:color w:val="222222"/>
              </w:rPr>
              <w:t>Full control over psych-specific intake script</w:t>
            </w:r>
          </w:p>
        </w:tc>
      </w:tr>
      <w:tr w:rsidR="00D44999" w14:paraId="345951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D98BC" w14:textId="77777777" w:rsidR="00D44999" w:rsidRDefault="00000000">
            <w:r>
              <w:rPr>
                <w:color w:val="222222"/>
              </w:rPr>
              <w:t>Who owns it if it breaks</w:t>
            </w:r>
          </w:p>
        </w:tc>
        <w:tc>
          <w:tcPr>
            <w:tcW w:w="3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93CB7" w14:textId="77777777" w:rsidR="00D44999" w:rsidRDefault="00000000">
            <w:r>
              <w:rPr>
                <w:color w:val="222222"/>
              </w:rPr>
              <w:t>Vendor's responsibility</w:t>
            </w:r>
          </w:p>
        </w:tc>
        <w:tc>
          <w:tcPr>
            <w:tcW w:w="3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AF8D8" w14:textId="77777777" w:rsidR="00D44999" w:rsidRDefault="00000000">
            <w:r>
              <w:rPr>
                <w:color w:val="222222"/>
              </w:rPr>
              <w:t>ECH/developer responsibility</w:t>
            </w:r>
          </w:p>
        </w:tc>
      </w:tr>
      <w:tr w:rsidR="00D44999" w14:paraId="393F382F" w14:textId="77777777">
        <w:tblPrEx>
          <w:tblBorders>
            <w:top w:val="single" w:sz="4" w:space="0" w:color="036638"/>
            <w:left w:val="single" w:sz="4" w:space="0" w:color="036638"/>
            <w:bottom w:val="single" w:sz="4" w:space="0" w:color="036638"/>
            <w:right w:val="single" w:sz="4" w:space="0" w:color="036638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gridSpan w:val="3"/>
            <w:shd w:val="clear" w:color="auto" w:fill="F2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95D66E" w14:textId="77777777" w:rsidR="00D44999" w:rsidRDefault="00000000">
            <w:pPr>
              <w:spacing w:after="60"/>
            </w:pPr>
            <w:r>
              <w:rPr>
                <w:b/>
                <w:bCs/>
                <w:color w:val="036638"/>
                <w:sz w:val="21"/>
                <w:szCs w:val="21"/>
              </w:rPr>
              <w:t>Recommendation for the developer</w:t>
            </w:r>
          </w:p>
          <w:p w14:paraId="4C502243" w14:textId="77777777" w:rsidR="00D44999" w:rsidRDefault="00000000">
            <w:r>
              <w:rPr>
                <w:color w:val="222222"/>
                <w:sz w:val="21"/>
                <w:szCs w:val="21"/>
              </w:rPr>
              <w:t xml:space="preserve">Scope Option B's time/cost estimate and provide it alongside a quick evaluation of Option A, so Donna can compare a real build quote against a vendor subscription before deciding. Given the developer is already mid-build on the Care Pipeline portal with existing </w:t>
            </w:r>
            <w:proofErr w:type="spellStart"/>
            <w:r>
              <w:rPr>
                <w:color w:val="222222"/>
                <w:sz w:val="21"/>
                <w:szCs w:val="21"/>
              </w:rPr>
              <w:t>Optimantra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API familiarity, folding this in may be efficient — but it is a meaningful scope addition, not a small add-on, and should be quoted as such.</w:t>
            </w:r>
          </w:p>
        </w:tc>
      </w:tr>
    </w:tbl>
    <w:p w14:paraId="495B46BB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8. Website Lead Capture — Chatbot with Live Handoff</w:t>
      </w:r>
    </w:p>
    <w:p w14:paraId="4DB53DBD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Currently the website update/lead-gen push is a future-phase item in the practice's broader growth plan, but the chatbot's capture logic should be designed now so it plugs into the same intake pipeline once the site is live — not built as a separate, disconnected system.</w:t>
      </w:r>
    </w:p>
    <w:p w14:paraId="3D0E5247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8.1 What to build</w:t>
      </w:r>
    </w:p>
    <w:p w14:paraId="697746BB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 website chatbot that answers common visitor questions (services offered, insurance accepted, telehealth vs. in-office, self-pay rates) and captures lead info from visitors who show intent to </w:t>
      </w:r>
      <w:proofErr w:type="gramStart"/>
      <w:r>
        <w:rPr>
          <w:color w:val="222222"/>
          <w:sz w:val="21"/>
          <w:szCs w:val="21"/>
        </w:rPr>
        <w:t>book:</w:t>
      </w:r>
      <w:proofErr w:type="gramEnd"/>
      <w:r>
        <w:rPr>
          <w:color w:val="222222"/>
          <w:sz w:val="21"/>
          <w:szCs w:val="21"/>
        </w:rPr>
        <w:t xml:space="preserve"> name, contact info, reason for inquiry, and insurance type if offered.</w:t>
      </w:r>
    </w:p>
    <w:p w14:paraId="1FE16514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During business hours: a live-handoff path so the chatbot can escalate a visitor to a real person (Jude) mid-conversation if the visitor wants immediate help or the bot can't resolve the question.</w:t>
      </w:r>
    </w:p>
    <w:p w14:paraId="24EF6E62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After hours: the chatbot captures the lead and sends an auto-reply confirming follow-up, then queues the lead for Jude the next business day — no visitor should be left with a dead-end conversation.</w:t>
      </w:r>
    </w:p>
    <w:p w14:paraId="106A6F56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Captured lead data should feed the same Make.com pipeline as booking-platform intake (Section 3</w:t>
      </w:r>
      <w:proofErr w:type="gramStart"/>
      <w:r>
        <w:rPr>
          <w:color w:val="222222"/>
          <w:sz w:val="21"/>
          <w:szCs w:val="21"/>
        </w:rPr>
        <w:t>), but</w:t>
      </w:r>
      <w:proofErr w:type="gramEnd"/>
      <w:r>
        <w:rPr>
          <w:color w:val="222222"/>
          <w:sz w:val="21"/>
          <w:szCs w:val="21"/>
        </w:rPr>
        <w:t xml:space="preserve"> routed into a LEAD stage — see Section 9 — rather than jumping straight to ONBOARDING, since a website inquiry is not yet a booked patient.</w:t>
      </w:r>
    </w:p>
    <w:tbl>
      <w:tblPr>
        <w:tblW w:w="9350" w:type="dxa"/>
        <w:tblBorders>
          <w:top w:val="single" w:sz="4" w:space="0" w:color="036638"/>
          <w:left w:val="single" w:sz="4" w:space="0" w:color="036638"/>
          <w:bottom w:val="single" w:sz="4" w:space="0" w:color="036638"/>
          <w:right w:val="single" w:sz="4" w:space="0" w:color="03663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44999" w14:paraId="6CDDA53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3DDF87" w14:textId="77777777" w:rsidR="00D44999" w:rsidRDefault="00000000">
            <w:pPr>
              <w:spacing w:after="60"/>
            </w:pPr>
            <w:r>
              <w:rPr>
                <w:b/>
                <w:bCs/>
                <w:color w:val="036638"/>
                <w:sz w:val="21"/>
                <w:szCs w:val="21"/>
              </w:rPr>
              <w:lastRenderedPageBreak/>
              <w:t>Why this matters for sequencing</w:t>
            </w:r>
          </w:p>
          <w:p w14:paraId="06B51B1C" w14:textId="77777777" w:rsidR="00D44999" w:rsidRDefault="00000000">
            <w:r>
              <w:rPr>
                <w:color w:val="222222"/>
                <w:sz w:val="21"/>
                <w:szCs w:val="21"/>
              </w:rPr>
              <w:t>This chatbot is the front door for the organic/paid lead-generation push already planned to ramp new-patient volume ahead of the incoming NP's start. Designing its data capture to plug into the same pipeline now avoids having to retrofit a disconnected lead source later.</w:t>
            </w:r>
          </w:p>
        </w:tc>
      </w:tr>
    </w:tbl>
    <w:p w14:paraId="0E17F09F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9. Lightweight CRM for Lead Tracking</w:t>
      </w:r>
    </w:p>
    <w:p w14:paraId="4776BBBC" w14:textId="77777777" w:rsidR="00D44999" w:rsidRDefault="00000000">
      <w:pPr>
        <w:spacing w:after="140"/>
      </w:pP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is the EHR of record for patients already under care — it is not the right place to track people who have inquired but not yet booked or been seen. A lightweight CRM layer is needed to hold leads through that gap, so nothing generated by the chatbot, phone inquiries, or ad campaigns gets lost before it becomes a booked patient.</w:t>
      </w:r>
    </w:p>
    <w:p w14:paraId="310CE913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9.1 What to build</w:t>
      </w:r>
    </w:p>
    <w:p w14:paraId="57564635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A simple lead pipeline, separate from the Care Pipeline patient board, with stages such as: New Lead → Contacted → Booked → Converted to Patient → Lost/No Response.</w:t>
      </w:r>
    </w:p>
    <w:p w14:paraId="23D043F6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Each lead record should </w:t>
      </w:r>
      <w:proofErr w:type="gramStart"/>
      <w:r>
        <w:rPr>
          <w:color w:val="222222"/>
          <w:sz w:val="21"/>
          <w:szCs w:val="21"/>
        </w:rPr>
        <w:t>carry:</w:t>
      </w:r>
      <w:proofErr w:type="gramEnd"/>
      <w:r>
        <w:rPr>
          <w:color w:val="222222"/>
          <w:sz w:val="21"/>
          <w:szCs w:val="21"/>
        </w:rPr>
        <w:t xml:space="preserve"> source (website chatbot, phone, referral, paid ad, organic), contact info, date captured, follow-up owner, and current status.</w:t>
      </w:r>
    </w:p>
    <w:p w14:paraId="07CBECA4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Given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is already in the stack, the simplest build is a second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list/board dedicated to leads, rather than introducing a new standalone CRM product — evaluate this first before recommending a dedicated CRM tool.</w:t>
      </w:r>
    </w:p>
    <w:p w14:paraId="354212DD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Once a lead books an appointment, that record should trigger creation of the patient card in the Care Pipeline board (Sections 3–6 flow) — the lead record and the patient record should link, not duplicate data entry.</w:t>
      </w:r>
    </w:p>
    <w:p w14:paraId="42DA8678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 xml:space="preserve">9.2 Why </w:t>
      </w:r>
      <w:proofErr w:type="gramStart"/>
      <w:r>
        <w:rPr>
          <w:b/>
          <w:bCs/>
          <w:color w:val="036638"/>
          <w:sz w:val="24"/>
          <w:szCs w:val="24"/>
        </w:rPr>
        <w:t>this matters</w:t>
      </w:r>
      <w:proofErr w:type="gramEnd"/>
    </w:p>
    <w:p w14:paraId="54658FCC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This is the missing piece connecting the growth plan (organic + paid leads targeting ~10 new patients/day) to the practice's broader visibility gap. Lead-to-booked conversion rate, lead source performance, and average time-to-contact are exactly the kind of numbers that belong on the company dashboard already discussed separately — this CRM layer is what would feed those metrics, rather than leads existing only in someone's inbox or memory.</w:t>
      </w:r>
    </w:p>
    <w:p w14:paraId="574A55A8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10. Relationship to the Care Pipeline Portal</w:t>
      </w:r>
    </w:p>
    <w:p w14:paraId="59C4F1FC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 xml:space="preserve">This intake/VOB automation does not need to wait on the Care Pipeline portal's full backend build — it can run as standalone Make.com scenarios now, using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as the interim board. When the Care Pipeline portal's live backend and webhook architecture are ready, these scenarios should be pointed at the portal instead of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>, preserving the same Kanban stages (Onboarding → Reconciled), stale-card flags, and “Flag for Donna” escalation already spec'd for that build.</w:t>
      </w:r>
    </w:p>
    <w:p w14:paraId="73843639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11. Open Questions for the Developer to Resolve</w:t>
      </w:r>
    </w:p>
    <w:p w14:paraId="32211534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: does Eligible auto-trigger on profile save, or does it require a manual action even with the integration active? (Confirm directly with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support.)</w:t>
      </w:r>
    </w:p>
    <w:p w14:paraId="3A374654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>: what is the exact scope of API/webhook access available on this account, and what does the developer need requested to get credentials?</w:t>
      </w:r>
    </w:p>
    <w:p w14:paraId="7591E791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Per booking platform (Headway/Grow/</w:t>
      </w:r>
      <w:proofErr w:type="spellStart"/>
      <w:r>
        <w:rPr>
          <w:color w:val="222222"/>
          <w:sz w:val="21"/>
          <w:szCs w:val="21"/>
        </w:rPr>
        <w:t>ZocDoc</w:t>
      </w:r>
      <w:proofErr w:type="spellEnd"/>
      <w:r>
        <w:rPr>
          <w:color w:val="222222"/>
          <w:sz w:val="21"/>
          <w:szCs w:val="21"/>
        </w:rPr>
        <w:t>/Klarity/Google): does each offer a native webhook/API, or is email/text parsing the only option? Also confirm exactly which Google product/channel is meant (e.g., Google Business Profile messages, Google Voice texts) so the right integration is built.</w:t>
      </w:r>
    </w:p>
    <w:p w14:paraId="796DAAD2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lastRenderedPageBreak/>
        <w:t>Phone intake: quote Option B (custom build) time/</w:t>
      </w:r>
      <w:proofErr w:type="gramStart"/>
      <w:r>
        <w:rPr>
          <w:color w:val="222222"/>
          <w:sz w:val="21"/>
          <w:szCs w:val="21"/>
        </w:rPr>
        <w:t>cost, and</w:t>
      </w:r>
      <w:proofErr w:type="gramEnd"/>
      <w:r>
        <w:rPr>
          <w:color w:val="222222"/>
          <w:sz w:val="21"/>
          <w:szCs w:val="21"/>
        </w:rPr>
        <w:t xml:space="preserve"> provide a short evaluation of Option A (vendor) as a comparison point.</w:t>
      </w:r>
    </w:p>
    <w:p w14:paraId="7F3F31F2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What threshold should define a “stale card” — is 48 hours the right default, or should this vary by booking source?</w:t>
      </w:r>
    </w:p>
    <w:p w14:paraId="366C1444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Chatbot: confirm which website platform/builder will be used once the site update happens, and whether the chosen chatbot tool has a native Make.com connector or needs custom webhook work.</w:t>
      </w:r>
    </w:p>
    <w:p w14:paraId="6B523836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Chatbot: define exact business-hours vs. after-hours behavior (hours, which staff member is “live,” and what the bot says when no one is available) — needs Donna's sign-off, not a default assumption.</w:t>
      </w:r>
    </w:p>
    <w:p w14:paraId="4C4362B5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CRM: confirm whether a second </w:t>
      </w:r>
      <w:proofErr w:type="spellStart"/>
      <w:r>
        <w:rPr>
          <w:color w:val="222222"/>
          <w:sz w:val="21"/>
          <w:szCs w:val="21"/>
        </w:rPr>
        <w:t>ClickUp</w:t>
      </w:r>
      <w:proofErr w:type="spellEnd"/>
      <w:r>
        <w:rPr>
          <w:color w:val="222222"/>
          <w:sz w:val="21"/>
          <w:szCs w:val="21"/>
        </w:rPr>
        <w:t xml:space="preserve"> list is sufficient at current lead volume, or whether a dedicated CRM tool should be evaluated — revisit once real lead volume from the chatbot/growth push is known.</w:t>
      </w:r>
    </w:p>
    <w:p w14:paraId="502E9398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12. Suggested Build Sequence</w:t>
      </w:r>
    </w:p>
    <w:p w14:paraId="25E0FFE4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Booking-platform intake capture (Section 3) — standalone, no dependencies.</w:t>
      </w:r>
    </w:p>
    <w:p w14:paraId="43C5A738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Auto-send intake forms via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portal, triggered on card creation.</w:t>
      </w:r>
    </w:p>
    <w:p w14:paraId="10ACDD92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Profile field mapping + VOB automation (Section 4) — pending the </w:t>
      </w:r>
      <w:proofErr w:type="spellStart"/>
      <w:r>
        <w:rPr>
          <w:color w:val="222222"/>
          <w:sz w:val="21"/>
          <w:szCs w:val="21"/>
        </w:rPr>
        <w:t>Optimantra</w:t>
      </w:r>
      <w:proofErr w:type="spellEnd"/>
      <w:r>
        <w:rPr>
          <w:color w:val="222222"/>
          <w:sz w:val="21"/>
          <w:szCs w:val="21"/>
        </w:rPr>
        <w:t xml:space="preserve"> auto-trigger confirmation.</w:t>
      </w:r>
    </w:p>
    <w:p w14:paraId="52BCF5CA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Exception routing logic (Section 6).</w:t>
      </w:r>
    </w:p>
    <w:p w14:paraId="362E38B9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Appointment reminder sequence + stale-card flagging.</w:t>
      </w:r>
    </w:p>
    <w:p w14:paraId="2642F217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Lightweight CRM / lead pipeline (Section 9) — can be built in parallel with the above, since it's a separate board from the patient pipeline.</w:t>
      </w:r>
    </w:p>
    <w:p w14:paraId="714E30DF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Phone-call intake (Section 7) — sequenced after the above, pending the Option A vs. B decision.</w:t>
      </w:r>
    </w:p>
    <w:p w14:paraId="5FB5D704" w14:textId="77777777" w:rsidR="00D44999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>Website chatbot (Section 8) — sequenced last, dependent on the website rebuild itself, which is a separate future-phase project.</w:t>
      </w:r>
    </w:p>
    <w:p w14:paraId="5E06A5F8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13. Brand Guidelines for Development</w:t>
      </w:r>
    </w:p>
    <w:p w14:paraId="4019FC0D" w14:textId="77777777" w:rsidR="00D44999" w:rsidRDefault="00000000">
      <w:pPr>
        <w:spacing w:after="140"/>
      </w:pPr>
      <w:r>
        <w:rPr>
          <w:color w:val="222222"/>
          <w:sz w:val="21"/>
          <w:szCs w:val="21"/>
        </w:rPr>
        <w:t>Reference this section for anything patient-facing built as part of this project (chatbot widget, confirmation emails/texts, website booking forms, any UI the developer touches).</w:t>
      </w:r>
    </w:p>
    <w:p w14:paraId="3FE75A36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13.1 Logo</w:t>
      </w:r>
    </w:p>
    <w:p w14:paraId="297C9B24" w14:textId="77777777" w:rsidR="00D44999" w:rsidRDefault="00000000">
      <w:pPr>
        <w:spacing w:before="100" w:after="100"/>
      </w:pPr>
      <w:r>
        <w:rPr>
          <w:noProof/>
        </w:rPr>
        <w:drawing>
          <wp:inline distT="0" distB="0" distL="0" distR="0" wp14:anchorId="24E32A02" wp14:editId="39CF5BC1">
            <wp:extent cx="1238250" cy="1266825"/>
            <wp:effectExtent l="0" t="0" r="0" b="0"/>
            <wp:docPr id="579775331" name="Picture 579775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7F88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A transparent-background copy of this logo file is attached alongside this document — use that file directly rather than re-exporting from this PDF/Word doc.</w:t>
      </w:r>
    </w:p>
    <w:p w14:paraId="5A215ADF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The logo should be reproduced in full, exactly as shown — no color variations, reversals, crops, or distortions.</w:t>
      </w:r>
    </w:p>
    <w:p w14:paraId="4CA80E61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On dark backgrounds, use the white/light version of the logo only (request from Donna if not already provided) — do not place the full-color version on a dark background.</w:t>
      </w:r>
    </w:p>
    <w:p w14:paraId="663C7242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The logomark (tree/figure icon) should not be used alone separated from the wordmark in official materials — use the horizontal or vertical lockup.</w:t>
      </w:r>
    </w:p>
    <w:p w14:paraId="37F831B5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13.2 Brand Colors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700"/>
        <w:gridCol w:w="3850"/>
      </w:tblGrid>
      <w:tr w:rsidR="00D44999" w14:paraId="611EC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7BD87" w14:textId="77777777" w:rsidR="00D44999" w:rsidRDefault="00000000">
            <w:r>
              <w:rPr>
                <w:b/>
                <w:bCs/>
                <w:color w:val="FFFFFF"/>
              </w:rPr>
              <w:lastRenderedPageBreak/>
              <w:t>Swatch</w:t>
            </w:r>
          </w:p>
        </w:tc>
        <w:tc>
          <w:tcPr>
            <w:tcW w:w="2900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EB68B" w14:textId="77777777" w:rsidR="00D44999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700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DA573" w14:textId="77777777" w:rsidR="00D44999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3850" w:type="dxa"/>
            <w:shd w:val="clear" w:color="auto" w:fill="0366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0F40A" w14:textId="77777777" w:rsidR="00D44999" w:rsidRDefault="00000000">
            <w:r>
              <w:rPr>
                <w:b/>
                <w:bCs/>
                <w:color w:val="FFFFFF"/>
              </w:rPr>
              <w:t>Use</w:t>
            </w:r>
          </w:p>
        </w:tc>
      </w:tr>
      <w:tr w:rsidR="00D44999" w14:paraId="20C8E7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3663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0D00B" w14:textId="77777777" w:rsidR="00D44999" w:rsidRDefault="00000000">
            <w:r>
              <w:t xml:space="preserve"> 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A1A67" w14:textId="77777777" w:rsidR="00D44999" w:rsidRDefault="00000000">
            <w:r>
              <w:rPr>
                <w:color w:val="222222"/>
              </w:rPr>
              <w:t>Primary — Dark Green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43A42E" w14:textId="77777777" w:rsidR="00D44999" w:rsidRDefault="00000000">
            <w:r>
              <w:rPr>
                <w:color w:val="222222"/>
              </w:rPr>
              <w:t>#036638</w:t>
            </w:r>
          </w:p>
        </w:tc>
        <w:tc>
          <w:tcPr>
            <w:tcW w:w="3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E4C7A" w14:textId="77777777" w:rsidR="00D44999" w:rsidRDefault="00000000">
            <w:r>
              <w:rPr>
                <w:color w:val="222222"/>
              </w:rPr>
              <w:t>Headers, primary buttons/accents, main brand color</w:t>
            </w:r>
          </w:p>
        </w:tc>
      </w:tr>
      <w:tr w:rsidR="00D44999" w14:paraId="5E0CB2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65BD6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0F583" w14:textId="77777777" w:rsidR="00D44999" w:rsidRDefault="00000000">
            <w:r>
              <w:t xml:space="preserve"> 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B77FCD" w14:textId="77777777" w:rsidR="00D44999" w:rsidRDefault="00000000">
            <w:r>
              <w:rPr>
                <w:color w:val="222222"/>
              </w:rPr>
              <w:t>Secondary — Light Green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EB3CF" w14:textId="77777777" w:rsidR="00D44999" w:rsidRDefault="00000000">
            <w:r>
              <w:rPr>
                <w:color w:val="222222"/>
              </w:rPr>
              <w:t>#65BD6C</w:t>
            </w:r>
          </w:p>
        </w:tc>
        <w:tc>
          <w:tcPr>
            <w:tcW w:w="3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51253" w14:textId="77777777" w:rsidR="00D44999" w:rsidRDefault="00000000">
            <w:r>
              <w:rPr>
                <w:color w:val="222222"/>
              </w:rPr>
              <w:t>Secondary accents, highlights</w:t>
            </w:r>
          </w:p>
        </w:tc>
      </w:tr>
      <w:tr w:rsidR="00D44999" w14:paraId="6EFF3A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BE7B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7021C" w14:textId="77777777" w:rsidR="00D44999" w:rsidRDefault="00000000">
            <w:r>
              <w:t xml:space="preserve"> 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58B1A1" w14:textId="77777777" w:rsidR="00D44999" w:rsidRDefault="00000000">
            <w:r>
              <w:rPr>
                <w:color w:val="222222"/>
              </w:rPr>
              <w:t>Accent — Banana Mania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355F1" w14:textId="77777777" w:rsidR="00D44999" w:rsidRDefault="00000000">
            <w:r>
              <w:rPr>
                <w:color w:val="222222"/>
              </w:rPr>
              <w:t>#FBE7B2</w:t>
            </w:r>
          </w:p>
        </w:tc>
        <w:tc>
          <w:tcPr>
            <w:tcW w:w="3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4B9F7" w14:textId="77777777" w:rsidR="00D44999" w:rsidRDefault="00000000">
            <w:r>
              <w:rPr>
                <w:color w:val="222222"/>
              </w:rPr>
              <w:t>Sparing accent use only</w:t>
            </w:r>
          </w:p>
        </w:tc>
      </w:tr>
      <w:tr w:rsidR="00D44999" w14:paraId="6294F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DEC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457C8" w14:textId="77777777" w:rsidR="00D44999" w:rsidRDefault="00000000">
            <w:r>
              <w:t xml:space="preserve"> 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8634F" w14:textId="77777777" w:rsidR="00D44999" w:rsidRDefault="00000000">
            <w:r>
              <w:rPr>
                <w:color w:val="222222"/>
              </w:rPr>
              <w:t>Accent — Sage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68465" w14:textId="77777777" w:rsidR="00D44999" w:rsidRDefault="00000000">
            <w:r>
              <w:rPr>
                <w:color w:val="222222"/>
              </w:rPr>
              <w:t>#EADEC0</w:t>
            </w:r>
          </w:p>
        </w:tc>
        <w:tc>
          <w:tcPr>
            <w:tcW w:w="3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20775" w14:textId="77777777" w:rsidR="00D44999" w:rsidRDefault="00000000">
            <w:r>
              <w:rPr>
                <w:color w:val="222222"/>
              </w:rPr>
              <w:t>Sparing accent use only</w:t>
            </w:r>
          </w:p>
        </w:tc>
      </w:tr>
    </w:tbl>
    <w:p w14:paraId="08816234" w14:textId="77777777" w:rsidR="00D44999" w:rsidRDefault="00000000">
      <w:pPr>
        <w:pStyle w:val="Heading2"/>
        <w:spacing w:before="260" w:after="120"/>
      </w:pPr>
      <w:r>
        <w:rPr>
          <w:b/>
          <w:bCs/>
          <w:color w:val="036638"/>
          <w:sz w:val="24"/>
          <w:szCs w:val="24"/>
        </w:rPr>
        <w:t>13.3 Typography</w:t>
      </w:r>
    </w:p>
    <w:p w14:paraId="66A10C4D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Primary typeface: Gilroy — used for headers/large text.</w:t>
      </w:r>
    </w:p>
    <w:p w14:paraId="4B61D4A4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Secondary typeface: Inherit — used for body text pairing with Gilroy.</w:t>
      </w:r>
    </w:p>
    <w:p w14:paraId="03277C49" w14:textId="77777777" w:rsidR="00D44999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>If either font isn't practical for a given build context (e.g., email clients with limited font support), confirm a fallback with Donna rather than defaulting silently.</w:t>
      </w:r>
    </w:p>
    <w:p w14:paraId="1CD7B4CB" w14:textId="77777777" w:rsidR="00D44999" w:rsidRDefault="00000000">
      <w:pPr>
        <w:pStyle w:val="Heading1"/>
        <w:pBdr>
          <w:bottom w:val="single" w:sz="8" w:space="4" w:color="036638"/>
        </w:pBdr>
        <w:spacing w:before="320" w:after="160"/>
      </w:pPr>
      <w:r>
        <w:rPr>
          <w:b/>
          <w:bCs/>
          <w:color w:val="036638"/>
          <w:sz w:val="30"/>
          <w:szCs w:val="30"/>
        </w:rPr>
        <w:t>14. Contact</w:t>
      </w:r>
    </w:p>
    <w:tbl>
      <w:tblPr>
        <w:tblW w:w="9350" w:type="dxa"/>
        <w:tblBorders>
          <w:top w:val="single" w:sz="4" w:space="0" w:color="036638"/>
          <w:left w:val="single" w:sz="4" w:space="0" w:color="036638"/>
          <w:bottom w:val="single" w:sz="4" w:space="0" w:color="036638"/>
          <w:right w:val="single" w:sz="4" w:space="0" w:color="03663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44999" w14:paraId="419668D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8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3F9309" w14:textId="77777777" w:rsidR="00D44999" w:rsidRDefault="00000000">
            <w:pPr>
              <w:spacing w:after="60"/>
            </w:pPr>
            <w:r>
              <w:rPr>
                <w:b/>
                <w:bCs/>
                <w:color w:val="036638"/>
                <w:sz w:val="21"/>
                <w:szCs w:val="21"/>
              </w:rPr>
              <w:t>Extracting the logo from this file</w:t>
            </w:r>
          </w:p>
          <w:p w14:paraId="13F88F19" w14:textId="77777777" w:rsidR="00D44999" w:rsidRDefault="00000000">
            <w:r>
              <w:rPr>
                <w:color w:val="222222"/>
                <w:sz w:val="21"/>
                <w:szCs w:val="21"/>
              </w:rPr>
              <w:t>The full-resolution logo asset below is embedded at its original resolution. In Word, right-click the image and choose “Save as Picture…” to extract it as a standalone PNG — useful if this document ends up being the only file that gets forwarded.</w:t>
            </w:r>
          </w:p>
        </w:tc>
      </w:tr>
    </w:tbl>
    <w:p w14:paraId="42416AEE" w14:textId="77777777" w:rsidR="00D44999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62FFCA76" wp14:editId="0A06F86C">
            <wp:extent cx="2600325" cy="2667000"/>
            <wp:effectExtent l="0" t="0" r="0" b="0"/>
            <wp:docPr id="454785200" name="Picture 454785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999">
      <w:headerReference w:type="default" r:id="rId9"/>
      <w:footerReference w:type="default" r:id="rId10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836184" w14:textId="77777777" w:rsidR="00376D01" w:rsidRDefault="00376D01">
      <w:r>
        <w:separator/>
      </w:r>
    </w:p>
  </w:endnote>
  <w:endnote w:type="continuationSeparator" w:id="0">
    <w:p w14:paraId="528394DD" w14:textId="77777777" w:rsidR="00376D01" w:rsidRDefault="00376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18FE88" w14:textId="77777777" w:rsidR="00D44999" w:rsidRDefault="00000000">
    <w:pPr>
      <w:pBdr>
        <w:top w:val="single" w:sz="6" w:space="4" w:color="65BD6C"/>
      </w:pBdr>
      <w:spacing w:before="100"/>
    </w:pPr>
    <w:r>
      <w:rPr>
        <w:color w:val="555555"/>
        <w:sz w:val="15"/>
        <w:szCs w:val="15"/>
      </w:rPr>
      <w:t>4500 Belvedere Road, Suite D, Haverhill, FL 33415   |   (561) 576-1861   |   elevatedcorehealth.com</w:t>
    </w:r>
  </w:p>
  <w:p w14:paraId="35E957A9" w14:textId="77777777" w:rsidR="00D44999" w:rsidRDefault="00000000">
    <w:pPr>
      <w:jc w:val="right"/>
    </w:pPr>
    <w:r>
      <w:rPr>
        <w:color w:val="555555"/>
        <w:sz w:val="15"/>
        <w:szCs w:val="15"/>
      </w:rPr>
      <w:t xml:space="preserve">Page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6A70FB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of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6A70FB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7B5E42" w14:textId="77777777" w:rsidR="00376D01" w:rsidRDefault="00376D01">
      <w:r>
        <w:separator/>
      </w:r>
    </w:p>
  </w:footnote>
  <w:footnote w:type="continuationSeparator" w:id="0">
    <w:p w14:paraId="070850EB" w14:textId="77777777" w:rsidR="00376D01" w:rsidRDefault="00376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8FA9" w14:textId="77777777" w:rsidR="00D44999" w:rsidRDefault="00000000">
    <w:pPr>
      <w:jc w:val="right"/>
    </w:pPr>
    <w:r>
      <w:rPr>
        <w:color w:val="555555"/>
        <w:sz w:val="16"/>
        <w:szCs w:val="16"/>
      </w:rPr>
      <w:t>Elevated Core Health  |  Developer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D38CA"/>
    <w:multiLevelType w:val="hybridMultilevel"/>
    <w:tmpl w:val="A05A442C"/>
    <w:lvl w:ilvl="0" w:tplc="AF2E0A34">
      <w:start w:val="1"/>
      <w:numFmt w:val="bullet"/>
      <w:lvlText w:val="●"/>
      <w:lvlJc w:val="left"/>
      <w:pPr>
        <w:ind w:left="720" w:hanging="360"/>
      </w:pPr>
    </w:lvl>
    <w:lvl w:ilvl="1" w:tplc="ECFACEC8">
      <w:start w:val="1"/>
      <w:numFmt w:val="bullet"/>
      <w:lvlText w:val="○"/>
      <w:lvlJc w:val="left"/>
      <w:pPr>
        <w:ind w:left="1440" w:hanging="360"/>
      </w:pPr>
    </w:lvl>
    <w:lvl w:ilvl="2" w:tplc="8C9A61E8">
      <w:start w:val="1"/>
      <w:numFmt w:val="bullet"/>
      <w:lvlText w:val="■"/>
      <w:lvlJc w:val="left"/>
      <w:pPr>
        <w:ind w:left="2160" w:hanging="360"/>
      </w:pPr>
    </w:lvl>
    <w:lvl w:ilvl="3" w:tplc="7D2A514E">
      <w:start w:val="1"/>
      <w:numFmt w:val="bullet"/>
      <w:lvlText w:val="●"/>
      <w:lvlJc w:val="left"/>
      <w:pPr>
        <w:ind w:left="2880" w:hanging="360"/>
      </w:pPr>
    </w:lvl>
    <w:lvl w:ilvl="4" w:tplc="89AAA12C">
      <w:start w:val="1"/>
      <w:numFmt w:val="bullet"/>
      <w:lvlText w:val="○"/>
      <w:lvlJc w:val="left"/>
      <w:pPr>
        <w:ind w:left="3600" w:hanging="360"/>
      </w:pPr>
    </w:lvl>
    <w:lvl w:ilvl="5" w:tplc="A9A22FDC">
      <w:start w:val="1"/>
      <w:numFmt w:val="bullet"/>
      <w:lvlText w:val="■"/>
      <w:lvlJc w:val="left"/>
      <w:pPr>
        <w:ind w:left="4320" w:hanging="360"/>
      </w:pPr>
    </w:lvl>
    <w:lvl w:ilvl="6" w:tplc="5D060A50">
      <w:start w:val="1"/>
      <w:numFmt w:val="bullet"/>
      <w:lvlText w:val="●"/>
      <w:lvlJc w:val="left"/>
      <w:pPr>
        <w:ind w:left="5040" w:hanging="360"/>
      </w:pPr>
    </w:lvl>
    <w:lvl w:ilvl="7" w:tplc="D9F6419E">
      <w:start w:val="1"/>
      <w:numFmt w:val="bullet"/>
      <w:lvlText w:val="●"/>
      <w:lvlJc w:val="left"/>
      <w:pPr>
        <w:ind w:left="5760" w:hanging="360"/>
      </w:pPr>
    </w:lvl>
    <w:lvl w:ilvl="8" w:tplc="C16AA4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6075DC"/>
    <w:multiLevelType w:val="hybridMultilevel"/>
    <w:tmpl w:val="B1F6BCFA"/>
    <w:lvl w:ilvl="0" w:tplc="7D244788">
      <w:start w:val="1"/>
      <w:numFmt w:val="decimal"/>
      <w:lvlText w:val="%1."/>
      <w:lvlJc w:val="left"/>
      <w:pPr>
        <w:ind w:left="400" w:hanging="260"/>
      </w:pPr>
    </w:lvl>
    <w:lvl w:ilvl="1" w:tplc="9A5AF56A">
      <w:numFmt w:val="decimal"/>
      <w:lvlText w:val=""/>
      <w:lvlJc w:val="left"/>
    </w:lvl>
    <w:lvl w:ilvl="2" w:tplc="8D6E21AA">
      <w:numFmt w:val="decimal"/>
      <w:lvlText w:val=""/>
      <w:lvlJc w:val="left"/>
    </w:lvl>
    <w:lvl w:ilvl="3" w:tplc="C9EE308E">
      <w:numFmt w:val="decimal"/>
      <w:lvlText w:val=""/>
      <w:lvlJc w:val="left"/>
    </w:lvl>
    <w:lvl w:ilvl="4" w:tplc="43C8B38E">
      <w:numFmt w:val="decimal"/>
      <w:lvlText w:val=""/>
      <w:lvlJc w:val="left"/>
    </w:lvl>
    <w:lvl w:ilvl="5" w:tplc="F6EC78BC">
      <w:numFmt w:val="decimal"/>
      <w:lvlText w:val=""/>
      <w:lvlJc w:val="left"/>
    </w:lvl>
    <w:lvl w:ilvl="6" w:tplc="566E3F36">
      <w:numFmt w:val="decimal"/>
      <w:lvlText w:val=""/>
      <w:lvlJc w:val="left"/>
    </w:lvl>
    <w:lvl w:ilvl="7" w:tplc="4C269BDA">
      <w:numFmt w:val="decimal"/>
      <w:lvlText w:val=""/>
      <w:lvlJc w:val="left"/>
    </w:lvl>
    <w:lvl w:ilvl="8" w:tplc="AB648E46">
      <w:numFmt w:val="decimal"/>
      <w:lvlText w:val=""/>
      <w:lvlJc w:val="left"/>
    </w:lvl>
  </w:abstractNum>
  <w:abstractNum w:abstractNumId="2" w15:restartNumberingAfterBreak="0">
    <w:nsid w:val="2A0238EB"/>
    <w:multiLevelType w:val="hybridMultilevel"/>
    <w:tmpl w:val="9B5EE3A0"/>
    <w:lvl w:ilvl="0" w:tplc="148C8114">
      <w:start w:val="1"/>
      <w:numFmt w:val="bullet"/>
      <w:lvlText w:val="•"/>
      <w:lvlJc w:val="left"/>
      <w:pPr>
        <w:ind w:left="400" w:hanging="260"/>
      </w:pPr>
    </w:lvl>
    <w:lvl w:ilvl="1" w:tplc="7158A958">
      <w:numFmt w:val="decimal"/>
      <w:lvlText w:val=""/>
      <w:lvlJc w:val="left"/>
    </w:lvl>
    <w:lvl w:ilvl="2" w:tplc="3202EACA">
      <w:numFmt w:val="decimal"/>
      <w:lvlText w:val=""/>
      <w:lvlJc w:val="left"/>
    </w:lvl>
    <w:lvl w:ilvl="3" w:tplc="D42415AC">
      <w:numFmt w:val="decimal"/>
      <w:lvlText w:val=""/>
      <w:lvlJc w:val="left"/>
    </w:lvl>
    <w:lvl w:ilvl="4" w:tplc="CA40773E">
      <w:numFmt w:val="decimal"/>
      <w:lvlText w:val=""/>
      <w:lvlJc w:val="left"/>
    </w:lvl>
    <w:lvl w:ilvl="5" w:tplc="EA10FAAE">
      <w:numFmt w:val="decimal"/>
      <w:lvlText w:val=""/>
      <w:lvlJc w:val="left"/>
    </w:lvl>
    <w:lvl w:ilvl="6" w:tplc="6E88EF22">
      <w:numFmt w:val="decimal"/>
      <w:lvlText w:val=""/>
      <w:lvlJc w:val="left"/>
    </w:lvl>
    <w:lvl w:ilvl="7" w:tplc="9D565ED6">
      <w:numFmt w:val="decimal"/>
      <w:lvlText w:val=""/>
      <w:lvlJc w:val="left"/>
    </w:lvl>
    <w:lvl w:ilvl="8" w:tplc="A8DA6828">
      <w:numFmt w:val="decimal"/>
      <w:lvlText w:val=""/>
      <w:lvlJc w:val="left"/>
    </w:lvl>
  </w:abstractNum>
  <w:num w:numId="1" w16cid:durableId="1626041493">
    <w:abstractNumId w:val="0"/>
    <w:lvlOverride w:ilvl="0">
      <w:startOverride w:val="1"/>
    </w:lvlOverride>
  </w:num>
  <w:num w:numId="2" w16cid:durableId="196047869">
    <w:abstractNumId w:val="1"/>
    <w:lvlOverride w:ilvl="0">
      <w:startOverride w:val="1"/>
    </w:lvlOverride>
  </w:num>
  <w:num w:numId="3" w16cid:durableId="6013791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999"/>
    <w:rsid w:val="00376D01"/>
    <w:rsid w:val="006A70FB"/>
    <w:rsid w:val="00A877EB"/>
    <w:rsid w:val="00D4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44256"/>
  <w15:docId w15:val="{1F754CC5-ADCF-274F-816B-1A3B1802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2939</Words>
  <Characters>16547</Characters>
  <Application>Microsoft Office Word</Application>
  <DocSecurity>0</DocSecurity>
  <Lines>300</Lines>
  <Paragraphs>202</Paragraphs>
  <ScaleCrop>false</ScaleCrop>
  <Company/>
  <LinksUpToDate>false</LinksUpToDate>
  <CharactersWithSpaces>19284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Donna Rhodes</cp:lastModifiedBy>
  <cp:revision>2</cp:revision>
  <dcterms:created xsi:type="dcterms:W3CDTF">2026-08-01T22:10:00Z</dcterms:created>
  <dcterms:modified xsi:type="dcterms:W3CDTF">2026-08-01T22:10:00Z</dcterms:modified>
</cp:coreProperties>
</file>